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C12" w:rsidRPr="00355416" w:rsidRDefault="009C0C12" w:rsidP="009C0C12">
      <w:pPr>
        <w:autoSpaceDN w:val="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55416"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</w:p>
    <w:p w:rsidR="009C0C12" w:rsidRPr="00355416" w:rsidRDefault="009C0C12" w:rsidP="009C0C12">
      <w:pPr>
        <w:autoSpaceDN w:val="0"/>
        <w:jc w:val="center"/>
        <w:rPr>
          <w:rFonts w:ascii="Times New Roman" w:eastAsia="华文中宋" w:hAnsi="Times New Roman" w:cs="Times New Roman"/>
          <w:b/>
          <w:kern w:val="0"/>
          <w:sz w:val="36"/>
          <w:szCs w:val="36"/>
        </w:rPr>
      </w:pPr>
      <w:bookmarkStart w:id="0" w:name="_GoBack"/>
      <w:r w:rsidRPr="00355416">
        <w:rPr>
          <w:rFonts w:ascii="Times New Roman" w:eastAsia="华文中宋" w:hAnsi="Times New Roman" w:cs="Times New Roman"/>
          <w:b/>
          <w:kern w:val="0"/>
          <w:sz w:val="36"/>
          <w:szCs w:val="36"/>
        </w:rPr>
        <w:t>农业科学家建议选题推荐表</w:t>
      </w:r>
      <w:bookmarkEnd w:id="0"/>
    </w:p>
    <w:p w:rsidR="009C0C12" w:rsidRPr="00355416" w:rsidRDefault="009C0C12" w:rsidP="009C0C12">
      <w:pPr>
        <w:autoSpaceDN w:val="0"/>
        <w:jc w:val="center"/>
        <w:rPr>
          <w:rFonts w:ascii="Times New Roman" w:eastAsia="仿宋_GB2312" w:hAnsi="Times New Roman" w:cs="Times New Roman"/>
          <w:b/>
          <w:kern w:val="0"/>
          <w:sz w:val="36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1372"/>
        <w:gridCol w:w="8496"/>
        <w:gridCol w:w="1587"/>
        <w:gridCol w:w="1587"/>
      </w:tblGrid>
      <w:tr w:rsidR="009C0C12" w:rsidRPr="00355416" w:rsidTr="00C5003E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C12" w:rsidRPr="00355416" w:rsidRDefault="009C0C12" w:rsidP="00C5003E">
            <w:pPr>
              <w:autoSpaceDN w:val="0"/>
              <w:snapToGrid w:val="0"/>
              <w:jc w:val="center"/>
              <w:rPr>
                <w:rFonts w:ascii="黑体" w:eastAsia="黑体" w:hAnsi="黑体" w:cs="Times New Roman"/>
                <w:sz w:val="30"/>
                <w:szCs w:val="30"/>
              </w:rPr>
            </w:pPr>
            <w:r w:rsidRPr="00355416">
              <w:rPr>
                <w:rFonts w:ascii="黑体" w:eastAsia="黑体" w:hAnsi="黑体" w:cs="Times New Roman"/>
                <w:sz w:val="30"/>
                <w:szCs w:val="30"/>
              </w:rPr>
              <w:t>编号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C12" w:rsidRDefault="009C0C12" w:rsidP="00C5003E">
            <w:pPr>
              <w:autoSpaceDN w:val="0"/>
              <w:snapToGrid w:val="0"/>
              <w:jc w:val="center"/>
              <w:rPr>
                <w:rFonts w:ascii="黑体" w:eastAsia="黑体" w:hAnsi="黑体" w:cs="Times New Roman"/>
                <w:sz w:val="30"/>
                <w:szCs w:val="30"/>
              </w:rPr>
            </w:pPr>
            <w:r w:rsidRPr="00355416">
              <w:rPr>
                <w:rFonts w:ascii="黑体" w:eastAsia="黑体" w:hAnsi="黑体" w:cs="Times New Roman"/>
                <w:sz w:val="30"/>
                <w:szCs w:val="30"/>
              </w:rPr>
              <w:t>选题</w:t>
            </w:r>
          </w:p>
          <w:p w:rsidR="009C0C12" w:rsidRPr="00355416" w:rsidRDefault="009C0C12" w:rsidP="00C5003E">
            <w:pPr>
              <w:autoSpaceDN w:val="0"/>
              <w:snapToGrid w:val="0"/>
              <w:jc w:val="center"/>
              <w:rPr>
                <w:rFonts w:ascii="黑体" w:eastAsia="黑体" w:hAnsi="黑体" w:cs="Times New Roman"/>
                <w:sz w:val="30"/>
                <w:szCs w:val="30"/>
              </w:rPr>
            </w:pPr>
            <w:r w:rsidRPr="00355416">
              <w:rPr>
                <w:rFonts w:ascii="黑体" w:eastAsia="黑体" w:hAnsi="黑体" w:cs="Times New Roman"/>
                <w:sz w:val="30"/>
                <w:szCs w:val="30"/>
              </w:rPr>
              <w:t>题目</w:t>
            </w: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C12" w:rsidRPr="00355416" w:rsidRDefault="009C0C12" w:rsidP="00C5003E">
            <w:pPr>
              <w:autoSpaceDN w:val="0"/>
              <w:snapToGrid w:val="0"/>
              <w:jc w:val="center"/>
              <w:rPr>
                <w:rFonts w:ascii="黑体" w:eastAsia="黑体" w:hAnsi="黑体" w:cs="Times New Roman"/>
                <w:sz w:val="30"/>
                <w:szCs w:val="30"/>
              </w:rPr>
            </w:pPr>
            <w:r w:rsidRPr="00355416">
              <w:rPr>
                <w:rFonts w:ascii="黑体" w:eastAsia="黑体" w:hAnsi="黑体" w:cs="Times New Roman"/>
                <w:sz w:val="30"/>
                <w:szCs w:val="30"/>
              </w:rPr>
              <w:t>简要说明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C12" w:rsidRPr="00355416" w:rsidRDefault="009C0C12" w:rsidP="00C5003E">
            <w:pPr>
              <w:autoSpaceDN w:val="0"/>
              <w:snapToGrid w:val="0"/>
              <w:jc w:val="center"/>
              <w:rPr>
                <w:rFonts w:ascii="黑体" w:eastAsia="黑体" w:hAnsi="黑体" w:cs="Times New Roman"/>
                <w:sz w:val="30"/>
                <w:szCs w:val="30"/>
              </w:rPr>
            </w:pPr>
            <w:r w:rsidRPr="00355416">
              <w:rPr>
                <w:rFonts w:ascii="黑体" w:eastAsia="黑体" w:hAnsi="黑体" w:cs="Times New Roman"/>
                <w:sz w:val="30"/>
                <w:szCs w:val="30"/>
              </w:rPr>
              <w:t>推荐专家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12" w:rsidRPr="002B4B90" w:rsidRDefault="009C0C12" w:rsidP="00C5003E">
            <w:pPr>
              <w:autoSpaceDN w:val="0"/>
              <w:snapToGrid w:val="0"/>
              <w:jc w:val="center"/>
              <w:rPr>
                <w:rFonts w:ascii="黑体" w:eastAsia="黑体" w:hAnsi="黑体" w:cs="Times New Roman"/>
                <w:sz w:val="30"/>
                <w:szCs w:val="30"/>
              </w:rPr>
            </w:pPr>
            <w:r w:rsidRPr="002B4B90">
              <w:rPr>
                <w:rFonts w:ascii="黑体" w:eastAsia="黑体" w:hAnsi="黑体" w:cs="Times New Roman" w:hint="eastAsia"/>
                <w:sz w:val="30"/>
                <w:szCs w:val="30"/>
              </w:rPr>
              <w:t>联系方式</w:t>
            </w:r>
          </w:p>
        </w:tc>
      </w:tr>
      <w:tr w:rsidR="009C0C12" w:rsidRPr="00355416" w:rsidTr="00C5003E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C12" w:rsidRPr="00355416" w:rsidRDefault="009C0C12" w:rsidP="00C5003E">
            <w:pPr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55416">
              <w:rPr>
                <w:rFonts w:ascii="Times New Roman" w:eastAsia="仿宋_GB2312" w:hAnsi="Times New Roman" w:cs="Times New Roman"/>
                <w:sz w:val="24"/>
                <w:szCs w:val="30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C12" w:rsidRPr="00355416" w:rsidRDefault="009C0C12" w:rsidP="00C5003E">
            <w:pPr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55416">
              <w:rPr>
                <w:rFonts w:ascii="Times New Roman" w:eastAsia="仿宋_GB2312" w:hAnsi="Times New Roman" w:cs="Times New Roman"/>
                <w:sz w:val="24"/>
                <w:szCs w:val="30"/>
              </w:rPr>
              <w:t>如：</w:t>
            </w:r>
            <w:r w:rsidRPr="008B5961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关于加快智能农机装备研发的建议</w:t>
            </w: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C12" w:rsidRPr="00355416" w:rsidRDefault="009C0C12" w:rsidP="00C5003E">
            <w:pPr>
              <w:autoSpaceDN w:val="0"/>
              <w:snapToGrid w:val="0"/>
              <w:ind w:firstLineChars="200" w:firstLine="48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8B5961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智能农机装备是转变农业发展方式、提高农村生产力的重要基础，是实施乡村振兴战略的重要支撑。随着信息化技术发展，我国智能农机装备产业涉及的物联网、传感器、大数据等企业不断发展壮大，但在竞争力、研发能力、制造装备水平等方面与国际领先水平仍有较大差距，多处于实验室阶段。传感控制等核心技术及系统仍受制于人，产业化应用远落后于发达国家。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12" w:rsidRPr="00355416" w:rsidRDefault="009C0C12" w:rsidP="00C5003E">
            <w:pPr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12" w:rsidRPr="00355416" w:rsidRDefault="009C0C12" w:rsidP="00C5003E">
            <w:pPr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9C0C12" w:rsidRPr="00355416" w:rsidTr="00C5003E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C12" w:rsidRPr="00355416" w:rsidRDefault="009C0C12" w:rsidP="00C5003E">
            <w:pPr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55416">
              <w:rPr>
                <w:rFonts w:ascii="Times New Roman" w:eastAsia="仿宋_GB2312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12" w:rsidRPr="007F1482" w:rsidRDefault="009C0C12" w:rsidP="00C5003E">
            <w:pPr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 w:rsidRPr="007F1482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如：关于加快提升生鲜农产品产后供给保障能力的建议</w:t>
            </w: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12" w:rsidRPr="007F1482" w:rsidRDefault="009C0C12" w:rsidP="00C5003E">
            <w:pPr>
              <w:autoSpaceDN w:val="0"/>
              <w:snapToGrid w:val="0"/>
              <w:ind w:firstLineChars="200" w:firstLine="480"/>
              <w:jc w:val="left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 w:rsidRPr="007F1482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果蔬、肉品、水产等生鲜农产品的多样化供给和供应</w:t>
            </w:r>
            <w:proofErr w:type="gramStart"/>
            <w:r w:rsidRPr="007F1482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链安全</w:t>
            </w:r>
            <w:proofErr w:type="gramEnd"/>
            <w:r w:rsidRPr="007F1482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保障直接关系着市民的“菜篮子”和农民的“钱袋子”，是增强人民群众获得感幸福感安全感的重要内涵。但当前我国生鲜农产品产后供给过程品质劣变和腐烂损耗严重，年损耗过万亿元。迫切需要分析我国生鲜农产品供应</w:t>
            </w:r>
            <w:proofErr w:type="gramStart"/>
            <w:r w:rsidRPr="007F1482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链科技</w:t>
            </w:r>
            <w:proofErr w:type="gramEnd"/>
            <w:r w:rsidRPr="007F1482"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创新及产业发展面临的突出短板和制约因素并提出对策建议，为农产品供应链高质量发展提供有力的科技支撑。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12" w:rsidRPr="00355416" w:rsidRDefault="009C0C12" w:rsidP="00C5003E">
            <w:pPr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12" w:rsidRPr="00355416" w:rsidRDefault="009C0C12" w:rsidP="00C5003E">
            <w:pPr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9C0C12" w:rsidRPr="00355416" w:rsidTr="00C5003E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C12" w:rsidRPr="00355416" w:rsidRDefault="009C0C12" w:rsidP="00C5003E">
            <w:pPr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55416">
              <w:rPr>
                <w:rFonts w:ascii="Times New Roman" w:eastAsia="仿宋_GB2312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12" w:rsidRPr="00355416" w:rsidRDefault="009C0C12" w:rsidP="00C5003E">
            <w:pPr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12" w:rsidRPr="00355416" w:rsidRDefault="009C0C12" w:rsidP="00C5003E">
            <w:pPr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12" w:rsidRPr="00355416" w:rsidRDefault="009C0C12" w:rsidP="00C5003E">
            <w:pPr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12" w:rsidRPr="00355416" w:rsidRDefault="009C0C12" w:rsidP="00C5003E">
            <w:pPr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9C0C12" w:rsidRPr="00355416" w:rsidTr="00C5003E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12" w:rsidRPr="00355416" w:rsidRDefault="009C0C12" w:rsidP="00C5003E">
            <w:pPr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12" w:rsidRPr="00355416" w:rsidRDefault="009C0C12" w:rsidP="00C5003E">
            <w:pPr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12" w:rsidRPr="00355416" w:rsidRDefault="009C0C12" w:rsidP="00C5003E">
            <w:pPr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12" w:rsidRPr="00355416" w:rsidRDefault="009C0C12" w:rsidP="00C5003E">
            <w:pPr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12" w:rsidRPr="00355416" w:rsidRDefault="009C0C12" w:rsidP="00C5003E">
            <w:pPr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9C0C12" w:rsidRPr="00355416" w:rsidTr="00C5003E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12" w:rsidRPr="00355416" w:rsidRDefault="009C0C12" w:rsidP="00C5003E">
            <w:pPr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12" w:rsidRPr="00355416" w:rsidRDefault="009C0C12" w:rsidP="00C5003E">
            <w:pPr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12" w:rsidRPr="00355416" w:rsidRDefault="009C0C12" w:rsidP="00C5003E">
            <w:pPr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12" w:rsidRPr="00355416" w:rsidRDefault="009C0C12" w:rsidP="00C5003E">
            <w:pPr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12" w:rsidRPr="00355416" w:rsidRDefault="009C0C12" w:rsidP="00C5003E">
            <w:pPr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9C0C12" w:rsidRPr="00355416" w:rsidTr="00C5003E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C12" w:rsidRPr="00355416" w:rsidRDefault="009C0C12" w:rsidP="00C5003E">
            <w:pPr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55416">
              <w:rPr>
                <w:rFonts w:ascii="Times New Roman" w:eastAsia="仿宋_GB2312" w:hAnsi="Times New Roman" w:cs="Times New Roman"/>
                <w:sz w:val="30"/>
                <w:szCs w:val="30"/>
              </w:rPr>
              <w:t>……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12" w:rsidRPr="00355416" w:rsidRDefault="009C0C12" w:rsidP="00C5003E">
            <w:pPr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12" w:rsidRPr="00355416" w:rsidRDefault="009C0C12" w:rsidP="00C5003E">
            <w:pPr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12" w:rsidRPr="00355416" w:rsidRDefault="009C0C12" w:rsidP="00C5003E">
            <w:pPr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12" w:rsidRPr="00355416" w:rsidRDefault="009C0C12" w:rsidP="00C5003E">
            <w:pPr>
              <w:autoSpaceDN w:val="0"/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</w:tbl>
    <w:p w:rsidR="009C0C12" w:rsidRPr="00355416" w:rsidRDefault="009C0C12" w:rsidP="009C0C12">
      <w:pPr>
        <w:rPr>
          <w:rFonts w:ascii="Times New Roman" w:hAnsi="Times New Roman" w:cs="Times New Roman"/>
        </w:rPr>
      </w:pPr>
    </w:p>
    <w:p w:rsidR="00466604" w:rsidRDefault="00466604"/>
    <w:sectPr w:rsidR="00466604" w:rsidSect="002B4B90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C12"/>
    <w:rsid w:val="00466604"/>
    <w:rsid w:val="009C0C12"/>
    <w:rsid w:val="00B9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C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C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Mzy</dc:creator>
  <cp:lastModifiedBy>Mzy</cp:lastModifiedBy>
  <cp:revision>1</cp:revision>
  <dcterms:created xsi:type="dcterms:W3CDTF">2023-02-27T07:08:00Z</dcterms:created>
  <dcterms:modified xsi:type="dcterms:W3CDTF">2023-02-27T07:19:00Z</dcterms:modified>
</cp:coreProperties>
</file>