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overflowPunct w:val="0"/>
        <w:spacing w:line="560" w:lineRule="exact"/>
        <w:jc w:val="center"/>
        <w:rPr>
          <w:rFonts w:ascii="方正小标宋简体" w:hAnsi="方正小标宋简体" w:eastAsia="方正小标宋简体"/>
          <w:sz w:val="44"/>
        </w:rPr>
      </w:pPr>
    </w:p>
    <w:p>
      <w:pPr>
        <w:overflowPunct w:val="0"/>
        <w:spacing w:line="560" w:lineRule="exact"/>
        <w:jc w:val="center"/>
        <w:rPr>
          <w:rFonts w:hint="eastAsia" w:ascii="黑体" w:hAnsi="黑体" w:eastAsia="黑体" w:cs="黑体"/>
          <w:sz w:val="44"/>
        </w:rPr>
      </w:pPr>
      <w:bookmarkStart w:id="0" w:name="_GoBack"/>
      <w:r>
        <w:rPr>
          <w:rFonts w:hint="eastAsia" w:ascii="黑体" w:hAnsi="黑体" w:eastAsia="黑体" w:cs="黑体"/>
          <w:sz w:val="44"/>
        </w:rPr>
        <w:t>2022年度山东省人力资源社会保障</w:t>
      </w:r>
    </w:p>
    <w:p>
      <w:pPr>
        <w:overflowPunct w:val="0"/>
        <w:spacing w:line="560" w:lineRule="exact"/>
        <w:jc w:val="center"/>
        <w:rPr>
          <w:rFonts w:hint="eastAsia" w:ascii="黑体" w:hAnsi="黑体" w:eastAsia="黑体" w:cs="黑体"/>
          <w:sz w:val="32"/>
        </w:rPr>
      </w:pPr>
      <w:r>
        <w:rPr>
          <w:rFonts w:hint="eastAsia" w:ascii="黑体" w:hAnsi="黑体" w:eastAsia="黑体" w:cs="黑体"/>
          <w:sz w:val="44"/>
        </w:rPr>
        <w:t>课题选题指南</w:t>
      </w:r>
    </w:p>
    <w:bookmarkEnd w:id="0"/>
    <w:p>
      <w:pPr>
        <w:overflowPunct w:val="0"/>
        <w:spacing w:line="560" w:lineRule="exact"/>
        <w:jc w:val="center"/>
        <w:rPr>
          <w:rFonts w:ascii="黑体" w:hAnsi="黑体" w:eastAsia="黑体"/>
          <w:sz w:val="32"/>
        </w:rPr>
      </w:pPr>
    </w:p>
    <w:p>
      <w:pPr>
        <w:overflowPunct w:val="0"/>
        <w:spacing w:line="560" w:lineRule="exact"/>
        <w:jc w:val="center"/>
        <w:rPr>
          <w:rFonts w:ascii="黑体" w:hAnsi="黑体" w:eastAsia="黑体"/>
          <w:sz w:val="32"/>
        </w:rPr>
      </w:pPr>
      <w:r>
        <w:rPr>
          <w:rFonts w:ascii="黑体" w:hAnsi="黑体" w:eastAsia="黑体"/>
          <w:sz w:val="32"/>
        </w:rPr>
        <w:t>重点课题</w:t>
      </w:r>
    </w:p>
    <w:p>
      <w:pPr>
        <w:overflowPunct w:val="0"/>
        <w:spacing w:line="560" w:lineRule="exact"/>
        <w:ind w:firstLine="640" w:firstLineChars="200"/>
        <w:rPr>
          <w:rFonts w:ascii="黑体" w:hAnsi="黑体" w:eastAsia="黑体"/>
          <w:sz w:val="32"/>
        </w:rPr>
      </w:pPr>
    </w:p>
    <w:p>
      <w:pPr>
        <w:overflowPunct w:val="0"/>
        <w:spacing w:line="560" w:lineRule="exact"/>
        <w:ind w:firstLine="640" w:firstLineChars="200"/>
        <w:rPr>
          <w:rFonts w:ascii="黑体" w:hAnsi="黑体" w:eastAsia="黑体"/>
          <w:sz w:val="32"/>
        </w:rPr>
      </w:pPr>
      <w:r>
        <w:rPr>
          <w:rFonts w:ascii="黑体" w:hAnsi="黑体" w:eastAsia="黑体"/>
          <w:sz w:val="32"/>
        </w:rPr>
        <w:t>1.</w:t>
      </w:r>
      <w:r>
        <w:rPr>
          <w:rFonts w:hint="eastAsia" w:ascii="黑体" w:hAnsi="黑体" w:eastAsia="黑体"/>
          <w:sz w:val="32"/>
        </w:rPr>
        <w:t>疫情防控形势下促进高校毕业生更加充分更高质量就业路径研究</w:t>
      </w:r>
    </w:p>
    <w:p>
      <w:pPr>
        <w:overflowPunct w:val="0"/>
        <w:spacing w:line="560" w:lineRule="exact"/>
        <w:ind w:firstLine="640" w:firstLineChars="200"/>
        <w:rPr>
          <w:rFonts w:ascii="仿宋_GB2312" w:hAnsi="仿宋_GB2312" w:eastAsia="仿宋_GB2312"/>
          <w:sz w:val="32"/>
        </w:rPr>
      </w:pPr>
      <w:r>
        <w:rPr>
          <w:rFonts w:ascii="仿宋_GB2312" w:hAnsi="仿宋_GB2312" w:eastAsia="仿宋_GB2312"/>
          <w:sz w:val="32"/>
        </w:rPr>
        <w:t>本研究以促进高校毕业生更加充分更高质量就业为目的，通过调研学生、学校、就业单位的实际情况，深入分析高校毕业生当前就业状况、相关影响因素，围绕分析结果，提出促进高校毕业生更加充分更高质量就业的路径，进一步拓宽高校毕业生就业路径，提高就业质量。</w:t>
      </w:r>
    </w:p>
    <w:p>
      <w:pPr>
        <w:overflowPunct w:val="0"/>
        <w:spacing w:line="560" w:lineRule="exact"/>
        <w:ind w:firstLine="640" w:firstLineChars="200"/>
        <w:rPr>
          <w:rFonts w:ascii="黑体" w:hAnsi="黑体" w:eastAsia="黑体"/>
          <w:sz w:val="32"/>
        </w:rPr>
      </w:pPr>
      <w:r>
        <w:rPr>
          <w:rFonts w:ascii="黑体" w:hAnsi="黑体" w:eastAsia="黑体"/>
          <w:sz w:val="32"/>
        </w:rPr>
        <w:t>2.</w:t>
      </w:r>
      <w:r>
        <w:rPr>
          <w:rFonts w:hint="eastAsia" w:ascii="黑体" w:hAnsi="黑体" w:eastAsia="黑体"/>
          <w:sz w:val="32"/>
        </w:rPr>
        <w:t>零工市场现状及发展研究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探究通过全面摸清我省零工市场发展建设基本情况及各地特色经验做法，分析目前零工市场建设存在的问题，探究如何发挥市场在人力资源配置中的决定性作用，提出高质量发展零工市场的对策建议，为进一步促进零工市场规范健康发展，满足人民群众多元化就业需求，推进更加充分更高质量就业提供理论和数据支撑。</w:t>
      </w:r>
    </w:p>
    <w:p>
      <w:pPr>
        <w:overflowPunct w:val="0"/>
        <w:spacing w:line="560" w:lineRule="exact"/>
        <w:ind w:firstLine="640" w:firstLineChars="200"/>
        <w:rPr>
          <w:rFonts w:ascii="黑体" w:hAnsi="黑体" w:eastAsia="黑体"/>
          <w:sz w:val="32"/>
        </w:rPr>
      </w:pPr>
      <w:r>
        <w:rPr>
          <w:rFonts w:ascii="黑体" w:hAnsi="黑体" w:eastAsia="黑体"/>
          <w:sz w:val="32"/>
        </w:rPr>
        <w:t>3.</w:t>
      </w:r>
      <w:r>
        <w:rPr>
          <w:rFonts w:hint="eastAsia" w:ascii="黑体" w:hAnsi="黑体" w:eastAsia="黑体"/>
          <w:sz w:val="32"/>
        </w:rPr>
        <w:t>新就业形态从业人员参加养老保险研究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本研究在全面分析新就业形态从业人员养老保险现状及问题的基础上，借鉴先进经验提出完善我省新就业形态从业人员参加养老保险的对策措施。</w:t>
      </w:r>
    </w:p>
    <w:p>
      <w:pPr>
        <w:overflowPunct w:val="0"/>
        <w:spacing w:line="560" w:lineRule="exact"/>
        <w:ind w:firstLine="640" w:firstLineChars="200"/>
        <w:rPr>
          <w:rFonts w:ascii="黑体" w:hAnsi="黑体" w:eastAsia="黑体"/>
          <w:sz w:val="32"/>
        </w:rPr>
      </w:pPr>
      <w:r>
        <w:rPr>
          <w:rFonts w:ascii="黑体" w:hAnsi="黑体" w:eastAsia="黑体"/>
          <w:sz w:val="32"/>
        </w:rPr>
        <w:t>4.</w:t>
      </w:r>
      <w:r>
        <w:rPr>
          <w:rFonts w:hint="eastAsia" w:ascii="黑体" w:hAnsi="黑体" w:eastAsia="黑体"/>
          <w:sz w:val="32"/>
        </w:rPr>
        <w:t>山东省企业职工基本养老保险精准扩面研究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围绕农民工、新业态从业人员等重点人群进行调查研究，通过社保数据筛查、与就业及劳动关系数据比对、部门间数据比对等方式，摸清相关群体收入水平及“参保未缴费”“应保未保”“参保不充分”等情况，分析问题出现的原因，并提出企业职工基本养老保险精准扩面的对策建议。</w:t>
      </w:r>
    </w:p>
    <w:p>
      <w:pPr>
        <w:overflowPunct w:val="0"/>
        <w:spacing w:line="560" w:lineRule="exact"/>
        <w:ind w:firstLine="640" w:firstLineChars="200"/>
        <w:rPr>
          <w:rFonts w:ascii="黑体" w:hAnsi="黑体" w:eastAsia="黑体"/>
          <w:sz w:val="32"/>
        </w:rPr>
      </w:pPr>
      <w:r>
        <w:rPr>
          <w:rFonts w:ascii="黑体" w:hAnsi="黑体" w:eastAsia="黑体"/>
          <w:sz w:val="32"/>
        </w:rPr>
        <w:t>5.</w:t>
      </w:r>
      <w:r>
        <w:rPr>
          <w:rFonts w:hint="eastAsia" w:ascii="黑体" w:hAnsi="黑体" w:eastAsia="黑体"/>
          <w:sz w:val="32"/>
        </w:rPr>
        <w:t>社会保险经办数字化转型研究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围绕社会保险数据要素全周期，面向经办管理服务全流程，以改善数字环境、强化数据应用为重点，以推动经办模式转型升级、提高精细化管理程度为目标，深入研究分析目前我省社会保险经办数字化转型存在的短板，围绕社会保险数据治理方法、社会保险经办服务应用场景拓展、社会保险管理能力提升等方面提出社会保险经办数字化转型实现路径。</w:t>
      </w:r>
    </w:p>
    <w:p>
      <w:pPr>
        <w:overflowPunct w:val="0"/>
        <w:spacing w:line="560" w:lineRule="exact"/>
        <w:ind w:firstLine="640" w:firstLineChars="200"/>
        <w:rPr>
          <w:rFonts w:ascii="黑体" w:hAnsi="黑体" w:eastAsia="黑体"/>
          <w:sz w:val="32"/>
        </w:rPr>
      </w:pPr>
      <w:r>
        <w:rPr>
          <w:rFonts w:ascii="黑体" w:hAnsi="黑体" w:eastAsia="黑体"/>
          <w:sz w:val="32"/>
        </w:rPr>
        <w:t>6.</w:t>
      </w:r>
      <w:r>
        <w:rPr>
          <w:rFonts w:hint="eastAsia" w:ascii="黑体" w:hAnsi="黑体" w:eastAsia="黑体"/>
          <w:sz w:val="32"/>
        </w:rPr>
        <w:t>人才支撑黄河流域生态保护和高质量发展战略山东实践路径研究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黄河流域生态保护和高质量发展战略对人才工作具有重要意义，特别是对人社领域人才工作提出了新任务、新要求、新挑战。本研究通过积极探索人才“引育留用服”等方面山东实践路径，分析存在的不足，提出人才工作如何引领山东沿黄9市协同创新、协调发展，助力发挥山东半岛城市群在黄河流域生态保护和高质量发展战略中龙头作用的对策建议。</w:t>
      </w:r>
    </w:p>
    <w:p>
      <w:pPr>
        <w:overflowPunct w:val="0"/>
        <w:spacing w:line="560" w:lineRule="exact"/>
        <w:ind w:firstLine="640" w:firstLineChars="200"/>
        <w:rPr>
          <w:rFonts w:ascii="黑体" w:hAnsi="黑体" w:eastAsia="黑体"/>
          <w:sz w:val="32"/>
        </w:rPr>
      </w:pPr>
      <w:r>
        <w:rPr>
          <w:rFonts w:ascii="黑体" w:hAnsi="黑体" w:eastAsia="黑体"/>
          <w:sz w:val="32"/>
        </w:rPr>
        <w:t>7.</w:t>
      </w:r>
      <w:r>
        <w:rPr>
          <w:rFonts w:hint="eastAsia" w:ascii="黑体" w:hAnsi="黑体" w:eastAsia="黑体"/>
          <w:sz w:val="32"/>
        </w:rPr>
        <w:t>山东人力资源服务业发展现状及推进措施研究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实地调查、对比研究等方式，总结我省人力资源服务业发展现状，分析与先进省份存在的差距，结合山东省“十四五”人力资源服务业发展规划，研究提出今后5年分阶段推进我省人力资源服务业创新发展的模式和相关措施建议。</w:t>
      </w:r>
    </w:p>
    <w:p>
      <w:pPr>
        <w:overflowPunct w:val="0"/>
        <w:spacing w:line="560" w:lineRule="exact"/>
        <w:ind w:firstLine="640" w:firstLineChars="200"/>
        <w:rPr>
          <w:rFonts w:ascii="黑体" w:hAnsi="黑体" w:eastAsia="黑体"/>
          <w:sz w:val="32"/>
        </w:rPr>
      </w:pPr>
      <w:r>
        <w:rPr>
          <w:rFonts w:ascii="黑体" w:hAnsi="黑体" w:eastAsia="黑体"/>
          <w:sz w:val="32"/>
        </w:rPr>
        <w:t>8.</w:t>
      </w:r>
      <w:r>
        <w:rPr>
          <w:rFonts w:hint="eastAsia" w:ascii="黑体" w:hAnsi="黑体" w:eastAsia="黑体"/>
        </w:rPr>
        <w:t xml:space="preserve"> </w:t>
      </w:r>
      <w:r>
        <w:rPr>
          <w:rFonts w:hint="eastAsia" w:ascii="黑体" w:hAnsi="黑体" w:eastAsia="黑体"/>
          <w:sz w:val="32"/>
        </w:rPr>
        <w:t>《山东省专业技术人员继续教育条例》实施情况、问题及对策研究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对《山东省专业技术人员继续教育条例》（以下简称《条例》）贯彻实施情况进行调查，了解《条例》实施的经验和成效，特别是一线专业技术人员对《条例》实施情况的评价，总结分析《条例》制度设计的合理性、可操作性及存在的问题和不足，提出对《条例》修订完善的意见和建议。</w:t>
      </w:r>
    </w:p>
    <w:p>
      <w:pPr>
        <w:overflowPunct w:val="0"/>
        <w:spacing w:line="560" w:lineRule="exact"/>
        <w:ind w:firstLine="640" w:firstLineChars="200"/>
        <w:rPr>
          <w:rFonts w:ascii="黑体" w:hAnsi="黑体" w:eastAsia="黑体"/>
          <w:sz w:val="32"/>
        </w:rPr>
      </w:pPr>
      <w:r>
        <w:rPr>
          <w:rFonts w:ascii="黑体" w:hAnsi="黑体" w:eastAsia="黑体"/>
          <w:sz w:val="32"/>
        </w:rPr>
        <w:t>9.</w:t>
      </w:r>
      <w:r>
        <w:rPr>
          <w:rFonts w:hint="eastAsia" w:ascii="黑体" w:hAnsi="黑体" w:eastAsia="黑体"/>
          <w:sz w:val="32"/>
        </w:rPr>
        <w:t>新时代背景下工学一体化技能人才培养研究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本研究通过阐述推进工学一体化技能人才培养的重要意义，深入分析目前我省在推进工学一体化技能人才培养的基础和不足，结合先进经验提出下一步我省推进工学一体化技能人才培养的总体思路和对策措施。</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0.</w:t>
      </w:r>
      <w:r>
        <w:rPr>
          <w:rFonts w:hint="eastAsia" w:ascii="黑体" w:hAnsi="黑体" w:eastAsia="黑体"/>
          <w:sz w:val="32"/>
        </w:rPr>
        <w:t>留学人员创业园吸引集聚作用研究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本研究通过深入分析留学人员创业园吸引集聚留学人员来鲁创业的作用，总结我省留学人员创业园对不同阶段留学人员扶持措施及特色做法，剖析现阶段留学人员创业园面临的体制机制等问题及原因，在</w:t>
      </w:r>
      <w:r>
        <w:rPr>
          <w:rFonts w:ascii="仿宋_GB2312" w:hAnsi="仿宋_GB2312" w:eastAsia="仿宋_GB2312"/>
          <w:sz w:val="32"/>
        </w:rPr>
        <w:t>归纳先进省市、区域留学人员创业园经验做法的基础上，提出我省</w:t>
      </w:r>
      <w:r>
        <w:rPr>
          <w:rFonts w:hint="eastAsia" w:ascii="仿宋_GB2312" w:hAnsi="仿宋_GB2312" w:eastAsia="仿宋_GB2312"/>
          <w:sz w:val="32"/>
        </w:rPr>
        <w:t>留学人员创业园高质量发展</w:t>
      </w:r>
      <w:r>
        <w:rPr>
          <w:rFonts w:ascii="仿宋_GB2312" w:hAnsi="仿宋_GB2312" w:eastAsia="仿宋_GB2312"/>
          <w:sz w:val="32"/>
        </w:rPr>
        <w:t>的对策建议。</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1</w:t>
      </w:r>
      <w:r>
        <w:rPr>
          <w:rFonts w:hint="eastAsia" w:ascii="黑体" w:hAnsi="黑体" w:eastAsia="黑体"/>
          <w:sz w:val="32"/>
        </w:rPr>
        <w:t>.新就业形态劳动者劳动保障权益问题研究</w:t>
      </w:r>
    </w:p>
    <w:p>
      <w:pPr>
        <w:spacing w:line="560" w:lineRule="exact"/>
        <w:ind w:firstLine="640" w:firstLineChars="200"/>
        <w:rPr>
          <w:rFonts w:ascii="仿宋_GB2312" w:hAnsi="仿宋_GB2312" w:eastAsia="仿宋_GB2312"/>
          <w:sz w:val="32"/>
        </w:rPr>
      </w:pPr>
      <w:r>
        <w:rPr>
          <w:rFonts w:ascii="仿宋_GB2312" w:hAnsi="仿宋_GB2312" w:eastAsia="仿宋_GB2312"/>
          <w:sz w:val="32"/>
        </w:rPr>
        <w:t>本研究通过对新就业形态劳动者劳动保障权益情况进行调研，分析新就业形态劳动者在</w:t>
      </w:r>
      <w:r>
        <w:rPr>
          <w:rFonts w:hint="eastAsia" w:ascii="仿宋_GB2312" w:hAnsi="仿宋_GB2312" w:eastAsia="仿宋_GB2312"/>
          <w:sz w:val="32"/>
        </w:rPr>
        <w:t>劳动保障权益方面的迫切需求，学习先进地区经验，提出维护新就业形态劳动者劳动保障权益的可行性措施。</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2.</w:t>
      </w:r>
      <w:r>
        <w:rPr>
          <w:rFonts w:hint="eastAsia" w:ascii="黑体" w:hAnsi="黑体" w:eastAsia="黑体"/>
          <w:sz w:val="32"/>
        </w:rPr>
        <w:t>公务员录用考试测评方法和技术研究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本研究通过对现行公务员录用考试测评方法和技术现状总结、对比分析等，探索我省相关测评方法和路径改革的可行性，侧重对新方法新技术的论证和试点，提出我省公务员录用考试测评方法和技术的应用规划。</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3.</w:t>
      </w:r>
      <w:r>
        <w:rPr>
          <w:rFonts w:hint="eastAsia" w:ascii="黑体" w:hAnsi="黑体" w:eastAsia="黑体"/>
          <w:sz w:val="32"/>
        </w:rPr>
        <w:t>全省人社系统高素质专业化年轻干部队伍建设优化提升路径研究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本研究通过对全省人社系统年轻干部队伍建设情况进行调研，总结当前全省人社系统年轻干部队伍建设现状，分析年轻干部队伍建设工作中存在的问题及困难，从选拔、培育、管理、使用四个角度研究高素质专业化年轻干部队伍建设优化提升路径、工作机制，提出切实可行的具体措施。</w:t>
      </w:r>
    </w:p>
    <w:p>
      <w:pPr>
        <w:overflowPunct w:val="0"/>
        <w:spacing w:line="560" w:lineRule="exact"/>
        <w:ind w:firstLine="640" w:firstLineChars="200"/>
        <w:rPr>
          <w:rFonts w:ascii="黑体" w:hAnsi="黑体" w:eastAsia="黑体"/>
          <w:sz w:val="32"/>
        </w:rPr>
      </w:pPr>
      <w:r>
        <w:rPr>
          <w:rFonts w:hint="eastAsia" w:ascii="黑体" w:hAnsi="黑体" w:eastAsia="黑体"/>
          <w:sz w:val="32"/>
        </w:rPr>
        <w:t>1</w:t>
      </w:r>
      <w:r>
        <w:rPr>
          <w:rFonts w:ascii="黑体" w:hAnsi="黑体" w:eastAsia="黑体"/>
          <w:sz w:val="32"/>
        </w:rPr>
        <w:t>4.</w:t>
      </w:r>
      <w:r>
        <w:rPr>
          <w:rFonts w:hint="eastAsia" w:ascii="黑体" w:hAnsi="黑体" w:eastAsia="黑体"/>
          <w:sz w:val="32"/>
        </w:rPr>
        <w:t>推进人社领域社会信用体系建设研究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人社领域社会信用体系建设，是社会信用体系建设的重要组成部分。本研究通过阐述大力推进人社领域信用体系建设必要性和重要意义，摸清推进人社领域社会信用体系建设中存在问题，探究构建人社领域社会信用体系，促进用人单位和个人遵守人社领域法律、法规和政策，营造良好诚信环境的对策建议。</w:t>
      </w:r>
    </w:p>
    <w:p>
      <w:pPr>
        <w:overflowPunct w:val="0"/>
        <w:spacing w:line="560" w:lineRule="exact"/>
        <w:jc w:val="center"/>
        <w:rPr>
          <w:rFonts w:ascii="黑体" w:hAnsi="黑体" w:eastAsia="黑体"/>
          <w:sz w:val="32"/>
        </w:rPr>
      </w:pPr>
      <w:r>
        <w:rPr>
          <w:rFonts w:ascii="黑体" w:hAnsi="黑体" w:eastAsia="黑体"/>
          <w:sz w:val="32"/>
        </w:rPr>
        <w:t>一般课题</w:t>
      </w:r>
    </w:p>
    <w:p>
      <w:pPr>
        <w:overflowPunct w:val="0"/>
        <w:spacing w:line="560" w:lineRule="exact"/>
        <w:ind w:firstLine="640" w:firstLineChars="200"/>
        <w:rPr>
          <w:rFonts w:ascii="仿宋_GB2312" w:hAnsi="仿宋_GB2312" w:eastAsia="仿宋_GB2312"/>
          <w:sz w:val="32"/>
        </w:rPr>
      </w:pP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w:t>
      </w:r>
      <w:r>
        <w:rPr>
          <w:rFonts w:hint="eastAsia" w:ascii="仿宋_GB2312" w:hAnsi="仿宋_GB2312" w:eastAsia="仿宋_GB2312"/>
          <w:sz w:val="32"/>
        </w:rPr>
        <w:t>农民工转移就业和就近就业现状调查及发展趋势研究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w:t>
      </w:r>
      <w:r>
        <w:rPr>
          <w:rFonts w:ascii="仿宋_GB2312" w:hAnsi="仿宋_GB2312" w:eastAsia="仿宋_GB2312"/>
          <w:sz w:val="32"/>
        </w:rPr>
        <w:t>.</w:t>
      </w:r>
      <w:r>
        <w:rPr>
          <w:rFonts w:hint="eastAsia" w:ascii="仿宋_GB2312" w:hAnsi="仿宋_GB2312" w:eastAsia="仿宋_GB2312"/>
          <w:sz w:val="32"/>
        </w:rPr>
        <w:t>家庭服务业发展现状及优化策略研究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w:t>
      </w:r>
      <w:r>
        <w:rPr>
          <w:rFonts w:ascii="仿宋_GB2312" w:hAnsi="仿宋_GB2312" w:eastAsia="仿宋_GB2312"/>
          <w:sz w:val="32"/>
        </w:rPr>
        <w:t>.</w:t>
      </w:r>
      <w:r>
        <w:rPr>
          <w:rFonts w:hint="eastAsia" w:ascii="仿宋_GB2312" w:hAnsi="仿宋_GB2312" w:eastAsia="仿宋_GB2312"/>
          <w:sz w:val="32"/>
        </w:rPr>
        <w:t>公共就业服务与人力资源市场协同发展研究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w:t>
      </w:r>
      <w:r>
        <w:rPr>
          <w:rFonts w:ascii="仿宋_GB2312" w:hAnsi="仿宋_GB2312" w:eastAsia="仿宋_GB2312"/>
          <w:sz w:val="32"/>
        </w:rPr>
        <w:t>.山东“三支一扶”期满人员基层建功立业成果调查</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5</w:t>
      </w:r>
      <w:r>
        <w:rPr>
          <w:rFonts w:ascii="仿宋_GB2312" w:hAnsi="仿宋_GB2312" w:eastAsia="仿宋_GB2312"/>
          <w:sz w:val="32"/>
        </w:rPr>
        <w:t>.</w:t>
      </w:r>
      <w:r>
        <w:rPr>
          <w:rFonts w:hint="eastAsia" w:ascii="仿宋_GB2312" w:hAnsi="仿宋_GB2312" w:eastAsia="仿宋_GB2312"/>
          <w:sz w:val="32"/>
        </w:rPr>
        <w:t>企业推行新时代职业技能等级制度应用研究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6</w:t>
      </w:r>
      <w:r>
        <w:rPr>
          <w:rFonts w:ascii="仿宋_GB2312" w:hAnsi="仿宋_GB2312" w:eastAsia="仿宋_GB2312"/>
          <w:sz w:val="32"/>
        </w:rPr>
        <w:t>.</w:t>
      </w:r>
      <w:r>
        <w:rPr>
          <w:rFonts w:hint="eastAsia" w:ascii="仿宋_GB2312" w:hAnsi="仿宋_GB2312" w:eastAsia="仿宋_GB2312"/>
          <w:sz w:val="32"/>
        </w:rPr>
        <w:t>职业技能培训品牌化建设研究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7</w:t>
      </w:r>
      <w:r>
        <w:rPr>
          <w:rFonts w:ascii="仿宋_GB2312" w:hAnsi="仿宋_GB2312" w:eastAsia="仿宋_GB2312"/>
          <w:sz w:val="32"/>
        </w:rPr>
        <w:t>.</w:t>
      </w:r>
      <w:r>
        <w:rPr>
          <w:rFonts w:hint="eastAsia" w:ascii="仿宋_GB2312" w:hAnsi="仿宋_GB2312" w:eastAsia="仿宋_GB2312"/>
          <w:sz w:val="32"/>
        </w:rPr>
        <w:t>打造具有山东特色人才发展雁阵格局路径研究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8</w:t>
      </w:r>
      <w:r>
        <w:rPr>
          <w:rFonts w:ascii="仿宋_GB2312" w:hAnsi="仿宋_GB2312" w:eastAsia="仿宋_GB2312"/>
          <w:sz w:val="32"/>
        </w:rPr>
        <w:t>.</w:t>
      </w:r>
      <w:r>
        <w:rPr>
          <w:rFonts w:hint="eastAsia" w:ascii="仿宋_GB2312" w:hAnsi="仿宋_GB2312" w:eastAsia="仿宋_GB2312"/>
          <w:sz w:val="32"/>
        </w:rPr>
        <w:t>青年人才政策供给问题研究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9</w:t>
      </w:r>
      <w:r>
        <w:rPr>
          <w:rFonts w:ascii="仿宋_GB2312" w:hAnsi="仿宋_GB2312" w:eastAsia="仿宋_GB2312"/>
          <w:sz w:val="32"/>
        </w:rPr>
        <w:t>.</w:t>
      </w:r>
      <w:r>
        <w:rPr>
          <w:rFonts w:hint="eastAsia" w:ascii="仿宋_GB2312" w:hAnsi="仿宋_GB2312" w:eastAsia="仿宋_GB2312"/>
          <w:sz w:val="32"/>
        </w:rPr>
        <w:t>推进高标准人力资源市场体系建设研究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0.</w:t>
      </w:r>
      <w:r>
        <w:rPr>
          <w:rFonts w:hint="eastAsia" w:ascii="仿宋_GB2312" w:hAnsi="仿宋_GB2312" w:eastAsia="仿宋_GB2312"/>
          <w:sz w:val="32"/>
        </w:rPr>
        <w:t>人力资源市场监管重难点问题及解决路径——以山东省为例</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1.</w:t>
      </w:r>
      <w:r>
        <w:rPr>
          <w:rFonts w:hint="eastAsia" w:ascii="仿宋_GB2312" w:hAnsi="仿宋_GB2312" w:eastAsia="仿宋_GB2312"/>
          <w:sz w:val="32"/>
        </w:rPr>
        <w:t>技工院校教学与世界技能大赛标准体系对接机制研究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2.</w:t>
      </w:r>
      <w:r>
        <w:rPr>
          <w:rFonts w:hint="eastAsia" w:ascii="仿宋_GB2312" w:hAnsi="仿宋_GB2312" w:eastAsia="仿宋_GB2312"/>
          <w:sz w:val="32"/>
        </w:rPr>
        <w:t>公办技工院校高技能人才队伍建设研究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3.</w:t>
      </w:r>
      <w:r>
        <w:rPr>
          <w:rFonts w:hint="eastAsia" w:ascii="仿宋_GB2312" w:hAnsi="仿宋_GB2312" w:eastAsia="仿宋_GB2312"/>
          <w:sz w:val="32"/>
        </w:rPr>
        <w:t>“专精特新”中小企业和制造业单项冠军企业专业技术人才职称申报评审机制问题研究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4.发挥高端专家智力优势助力乡村振兴研究</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w:t>
      </w:r>
      <w:r>
        <w:rPr>
          <w:rFonts w:ascii="仿宋_GB2312" w:hAnsi="仿宋_GB2312" w:eastAsia="仿宋_GB2312"/>
          <w:sz w:val="32"/>
        </w:rPr>
        <w:t>5.高层次人才服务的市场化实施路径研究</w:t>
      </w:r>
    </w:p>
    <w:p>
      <w:pPr>
        <w:overflowPunct w:val="0"/>
        <w:spacing w:line="560" w:lineRule="exact"/>
        <w:ind w:firstLine="640" w:firstLineChars="200"/>
        <w:rPr>
          <w:rFonts w:ascii="仿宋_GB2312" w:hAnsi="仿宋_GB2312" w:eastAsia="仿宋_GB2312"/>
          <w:sz w:val="32"/>
        </w:rPr>
      </w:pP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5ZTdlMzYyNzIxMjY2OTliMGRhMmE5YjFiZTJiOTgifQ=="/>
  </w:docVars>
  <w:rsids>
    <w:rsidRoot w:val="00E46F0F"/>
    <w:rsid w:val="00042801"/>
    <w:rsid w:val="00055D04"/>
    <w:rsid w:val="000570C6"/>
    <w:rsid w:val="000835B1"/>
    <w:rsid w:val="000904B0"/>
    <w:rsid w:val="000A43CE"/>
    <w:rsid w:val="000C5510"/>
    <w:rsid w:val="000D1AAE"/>
    <w:rsid w:val="000D7E3A"/>
    <w:rsid w:val="000E6406"/>
    <w:rsid w:val="00163E6F"/>
    <w:rsid w:val="00170993"/>
    <w:rsid w:val="00175818"/>
    <w:rsid w:val="00181D9C"/>
    <w:rsid w:val="00185AB2"/>
    <w:rsid w:val="00194566"/>
    <w:rsid w:val="001A57CC"/>
    <w:rsid w:val="001B2DCA"/>
    <w:rsid w:val="001C409B"/>
    <w:rsid w:val="001C52AF"/>
    <w:rsid w:val="001D6057"/>
    <w:rsid w:val="001E64B0"/>
    <w:rsid w:val="0020795F"/>
    <w:rsid w:val="00223BA9"/>
    <w:rsid w:val="00223C51"/>
    <w:rsid w:val="002316EC"/>
    <w:rsid w:val="002461FC"/>
    <w:rsid w:val="00247733"/>
    <w:rsid w:val="00282032"/>
    <w:rsid w:val="002831CB"/>
    <w:rsid w:val="002B7F79"/>
    <w:rsid w:val="002F1642"/>
    <w:rsid w:val="00351210"/>
    <w:rsid w:val="00353851"/>
    <w:rsid w:val="00382CCA"/>
    <w:rsid w:val="003B484F"/>
    <w:rsid w:val="003B5EE2"/>
    <w:rsid w:val="003B5F9E"/>
    <w:rsid w:val="003C2152"/>
    <w:rsid w:val="003E4014"/>
    <w:rsid w:val="003E6FD7"/>
    <w:rsid w:val="00417D27"/>
    <w:rsid w:val="00423617"/>
    <w:rsid w:val="00436A3A"/>
    <w:rsid w:val="004567AC"/>
    <w:rsid w:val="0047276F"/>
    <w:rsid w:val="004922CB"/>
    <w:rsid w:val="004A234B"/>
    <w:rsid w:val="00502468"/>
    <w:rsid w:val="00507A97"/>
    <w:rsid w:val="00532C95"/>
    <w:rsid w:val="0054724C"/>
    <w:rsid w:val="00594A61"/>
    <w:rsid w:val="00596AFD"/>
    <w:rsid w:val="005C4393"/>
    <w:rsid w:val="005C4F0F"/>
    <w:rsid w:val="006121B9"/>
    <w:rsid w:val="00615AFC"/>
    <w:rsid w:val="00615B39"/>
    <w:rsid w:val="0066742F"/>
    <w:rsid w:val="00673180"/>
    <w:rsid w:val="006B6799"/>
    <w:rsid w:val="00710BD3"/>
    <w:rsid w:val="00721473"/>
    <w:rsid w:val="00730C8B"/>
    <w:rsid w:val="00773BEC"/>
    <w:rsid w:val="007771E0"/>
    <w:rsid w:val="007A1853"/>
    <w:rsid w:val="007B3DE3"/>
    <w:rsid w:val="007C274D"/>
    <w:rsid w:val="007F701D"/>
    <w:rsid w:val="00823D63"/>
    <w:rsid w:val="008241D2"/>
    <w:rsid w:val="0083764A"/>
    <w:rsid w:val="00856A16"/>
    <w:rsid w:val="00857AD9"/>
    <w:rsid w:val="008C5781"/>
    <w:rsid w:val="00940885"/>
    <w:rsid w:val="00952C81"/>
    <w:rsid w:val="009A1943"/>
    <w:rsid w:val="009A62C2"/>
    <w:rsid w:val="009C15F6"/>
    <w:rsid w:val="009D6862"/>
    <w:rsid w:val="00A252D4"/>
    <w:rsid w:val="00A4497B"/>
    <w:rsid w:val="00A665EA"/>
    <w:rsid w:val="00A746DD"/>
    <w:rsid w:val="00AC5C8B"/>
    <w:rsid w:val="00AD1308"/>
    <w:rsid w:val="00AD189A"/>
    <w:rsid w:val="00B17FE4"/>
    <w:rsid w:val="00B30FE8"/>
    <w:rsid w:val="00B3221B"/>
    <w:rsid w:val="00B436C3"/>
    <w:rsid w:val="00B64593"/>
    <w:rsid w:val="00BA3F7A"/>
    <w:rsid w:val="00BB0CA3"/>
    <w:rsid w:val="00BC5804"/>
    <w:rsid w:val="00BF0C4F"/>
    <w:rsid w:val="00BF2220"/>
    <w:rsid w:val="00BF36A2"/>
    <w:rsid w:val="00C01D31"/>
    <w:rsid w:val="00C25FF9"/>
    <w:rsid w:val="00C2686E"/>
    <w:rsid w:val="00C32D19"/>
    <w:rsid w:val="00C569D6"/>
    <w:rsid w:val="00C83ADE"/>
    <w:rsid w:val="00CD63B8"/>
    <w:rsid w:val="00CD7B08"/>
    <w:rsid w:val="00CF2EE1"/>
    <w:rsid w:val="00DA1495"/>
    <w:rsid w:val="00DC4C5F"/>
    <w:rsid w:val="00DF3DCE"/>
    <w:rsid w:val="00E1124E"/>
    <w:rsid w:val="00E46F0F"/>
    <w:rsid w:val="00E948A4"/>
    <w:rsid w:val="00ED0CCC"/>
    <w:rsid w:val="00F2792E"/>
    <w:rsid w:val="00F35835"/>
    <w:rsid w:val="00F4031B"/>
    <w:rsid w:val="00F61E01"/>
    <w:rsid w:val="00F84499"/>
    <w:rsid w:val="00F96AA7"/>
    <w:rsid w:val="00FC66AF"/>
    <w:rsid w:val="00FD365F"/>
    <w:rsid w:val="5AD1185A"/>
    <w:rsid w:val="782C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5</Pages>
  <Words>2312</Words>
  <Characters>2355</Characters>
  <Lines>17</Lines>
  <Paragraphs>4</Paragraphs>
  <TotalTime>1174</TotalTime>
  <ScaleCrop>false</ScaleCrop>
  <LinksUpToDate>false</LinksUpToDate>
  <CharactersWithSpaces>2356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2022-04-11T01:34:00Z</dcterms:created>
  <dc:creator>China</dc:creator>
  <cp:lastModifiedBy>Stella</cp:lastModifiedBy>
  <cp:lastPrinted>2022-05-18T04:29:00Z</cp:lastPrinted>
  <dcterms:modified xsi:type="dcterms:W3CDTF">2022-05-24T04:31:37Z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953F6375290A49BEB5335E8FAB440009</vt:lpwstr>
  </property>
</Properties>
</file>