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006" w:rsidRPr="00B5407B" w:rsidRDefault="00CE3006" w:rsidP="00CE3006">
      <w:pPr>
        <w:spacing w:line="360" w:lineRule="auto"/>
        <w:rPr>
          <w:b/>
          <w:sz w:val="24"/>
          <w:szCs w:val="24"/>
        </w:rPr>
      </w:pPr>
      <w:r w:rsidRPr="00B5407B">
        <w:rPr>
          <w:rFonts w:hint="eastAsia"/>
          <w:b/>
          <w:sz w:val="24"/>
          <w:szCs w:val="24"/>
        </w:rPr>
        <w:t>《成果要报》样稿二：</w:t>
      </w:r>
    </w:p>
    <w:p w:rsidR="00CE3006" w:rsidRPr="00B5407B" w:rsidRDefault="00CE3006" w:rsidP="00CE3006">
      <w:pPr>
        <w:spacing w:line="360" w:lineRule="auto"/>
        <w:jc w:val="center"/>
        <w:rPr>
          <w:b/>
          <w:sz w:val="24"/>
          <w:szCs w:val="24"/>
        </w:rPr>
      </w:pPr>
      <w:r w:rsidRPr="00B5407B">
        <w:rPr>
          <w:rFonts w:hint="eastAsia"/>
          <w:b/>
          <w:sz w:val="24"/>
          <w:szCs w:val="24"/>
        </w:rPr>
        <w:t>建议使用中位数指标度量城乡居民收入</w:t>
      </w:r>
    </w:p>
    <w:p w:rsidR="00CE3006" w:rsidRPr="00B5407B" w:rsidRDefault="00CE3006" w:rsidP="00CE3006">
      <w:pPr>
        <w:spacing w:line="360" w:lineRule="auto"/>
        <w:rPr>
          <w:sz w:val="24"/>
          <w:szCs w:val="24"/>
        </w:rPr>
      </w:pPr>
    </w:p>
    <w:p w:rsidR="00CE3006" w:rsidRPr="00B5407B" w:rsidRDefault="00CE3006" w:rsidP="00CE3006">
      <w:pPr>
        <w:spacing w:line="360" w:lineRule="auto"/>
        <w:ind w:firstLineChars="200" w:firstLine="480"/>
        <w:rPr>
          <w:sz w:val="24"/>
          <w:szCs w:val="24"/>
        </w:rPr>
      </w:pPr>
      <w:r w:rsidRPr="00B5407B">
        <w:rPr>
          <w:rFonts w:hint="eastAsia"/>
          <w:sz w:val="24"/>
          <w:szCs w:val="24"/>
        </w:rPr>
        <w:t>中国人民大学袁卫教授、北京航空航天大学刘超博士承担的国家社科基金项目阶段性成果，提出度量居民收入使用中位数比平均数更具科学性，建议我国进行统计方法改革。</w:t>
      </w:r>
    </w:p>
    <w:p w:rsidR="00CE3006" w:rsidRPr="00B5407B" w:rsidRDefault="00CE3006" w:rsidP="00CE3006">
      <w:pPr>
        <w:spacing w:line="360" w:lineRule="auto"/>
        <w:ind w:firstLineChars="200" w:firstLine="480"/>
        <w:rPr>
          <w:sz w:val="24"/>
          <w:szCs w:val="24"/>
        </w:rPr>
      </w:pPr>
      <w:r w:rsidRPr="00B5407B">
        <w:rPr>
          <w:rFonts w:hint="eastAsia"/>
          <w:sz w:val="24"/>
          <w:szCs w:val="24"/>
        </w:rPr>
        <w:t>一、比较而言，度量城乡居民收入使用中位数比平均数更具科学性</w:t>
      </w:r>
    </w:p>
    <w:p w:rsidR="00CE3006" w:rsidRPr="00B5407B" w:rsidRDefault="00CE3006" w:rsidP="00CE3006">
      <w:pPr>
        <w:spacing w:line="360" w:lineRule="auto"/>
        <w:ind w:firstLineChars="200" w:firstLine="480"/>
        <w:rPr>
          <w:sz w:val="24"/>
          <w:szCs w:val="24"/>
        </w:rPr>
      </w:pPr>
      <w:r w:rsidRPr="00B5407B">
        <w:rPr>
          <w:rFonts w:hint="eastAsia"/>
          <w:sz w:val="24"/>
          <w:szCs w:val="24"/>
        </w:rPr>
        <w:t>中位数是数据由低到高按顺序排列后处于最中间的数值。中位数收入表明有一半人（或家庭）比该收入高，有一半人（或家庭）比该收入低，代表中等家庭收入（或一般收入）水平。平均数是收入总和除以人口或家庭总数得到的数值。平均数受少数高收入数据的影响大于中位数，贫富差距越大，平均数就越大于中位数。</w:t>
      </w:r>
    </w:p>
    <w:p w:rsidR="00CE3006" w:rsidRPr="00B5407B" w:rsidRDefault="00CE3006" w:rsidP="00CE3006">
      <w:pPr>
        <w:spacing w:line="360" w:lineRule="auto"/>
        <w:ind w:firstLineChars="200" w:firstLine="480"/>
        <w:rPr>
          <w:sz w:val="24"/>
          <w:szCs w:val="24"/>
        </w:rPr>
      </w:pPr>
      <w:r w:rsidRPr="00B5407B">
        <w:rPr>
          <w:rFonts w:hint="eastAsia"/>
          <w:sz w:val="24"/>
          <w:szCs w:val="24"/>
        </w:rPr>
        <w:t>1.</w:t>
      </w:r>
      <w:r w:rsidRPr="00B5407B">
        <w:rPr>
          <w:rFonts w:hint="eastAsia"/>
          <w:sz w:val="24"/>
          <w:szCs w:val="24"/>
        </w:rPr>
        <w:t>由于收入贫富差距较大，用平均数统计实际上夸大了一般收入水平。中国人民大学开展的相关调查，对全国</w:t>
      </w:r>
      <w:r w:rsidRPr="00B5407B">
        <w:rPr>
          <w:rFonts w:hint="eastAsia"/>
          <w:sz w:val="24"/>
          <w:szCs w:val="24"/>
        </w:rPr>
        <w:t>31</w:t>
      </w:r>
      <w:r w:rsidRPr="00B5407B">
        <w:rPr>
          <w:rFonts w:hint="eastAsia"/>
          <w:sz w:val="24"/>
          <w:szCs w:val="24"/>
        </w:rPr>
        <w:t>个省区市随机抽出的</w:t>
      </w:r>
      <w:r w:rsidRPr="00B5407B">
        <w:rPr>
          <w:rFonts w:hint="eastAsia"/>
          <w:sz w:val="24"/>
          <w:szCs w:val="24"/>
        </w:rPr>
        <w:t>12000</w:t>
      </w:r>
      <w:r w:rsidRPr="00B5407B">
        <w:rPr>
          <w:rFonts w:hint="eastAsia"/>
          <w:sz w:val="24"/>
          <w:szCs w:val="24"/>
        </w:rPr>
        <w:t>户居民家庭</w:t>
      </w:r>
      <w:r w:rsidRPr="00B5407B">
        <w:rPr>
          <w:rFonts w:hint="eastAsia"/>
          <w:sz w:val="24"/>
          <w:szCs w:val="24"/>
        </w:rPr>
        <w:t>2010</w:t>
      </w:r>
      <w:r w:rsidRPr="00B5407B">
        <w:rPr>
          <w:rFonts w:hint="eastAsia"/>
          <w:sz w:val="24"/>
          <w:szCs w:val="24"/>
        </w:rPr>
        <w:t>年可支配收入进行了计算，结果显示全国城乡居民家庭收入的中位数为</w:t>
      </w:r>
      <w:r w:rsidRPr="00B5407B">
        <w:rPr>
          <w:rFonts w:hint="eastAsia"/>
          <w:sz w:val="24"/>
          <w:szCs w:val="24"/>
        </w:rPr>
        <w:t>24933</w:t>
      </w:r>
      <w:r w:rsidRPr="00B5407B">
        <w:rPr>
          <w:rFonts w:hint="eastAsia"/>
          <w:sz w:val="24"/>
          <w:szCs w:val="24"/>
        </w:rPr>
        <w:t>元，平均数为</w:t>
      </w:r>
      <w:r w:rsidRPr="00B5407B">
        <w:rPr>
          <w:rFonts w:hint="eastAsia"/>
          <w:sz w:val="24"/>
          <w:szCs w:val="24"/>
        </w:rPr>
        <w:t>41017</w:t>
      </w:r>
      <w:r w:rsidRPr="00B5407B">
        <w:rPr>
          <w:rFonts w:hint="eastAsia"/>
          <w:sz w:val="24"/>
          <w:szCs w:val="24"/>
        </w:rPr>
        <w:t>元。其中，城镇居民家庭收入的中位数为</w:t>
      </w:r>
      <w:r w:rsidRPr="00B5407B">
        <w:rPr>
          <w:rFonts w:hint="eastAsia"/>
          <w:sz w:val="24"/>
          <w:szCs w:val="24"/>
        </w:rPr>
        <w:t>30000</w:t>
      </w:r>
      <w:r w:rsidRPr="00B5407B">
        <w:rPr>
          <w:rFonts w:hint="eastAsia"/>
          <w:sz w:val="24"/>
          <w:szCs w:val="24"/>
        </w:rPr>
        <w:t>元，平均数为</w:t>
      </w:r>
      <w:r w:rsidRPr="00B5407B">
        <w:rPr>
          <w:rFonts w:hint="eastAsia"/>
          <w:sz w:val="24"/>
          <w:szCs w:val="24"/>
        </w:rPr>
        <w:t>53023</w:t>
      </w:r>
      <w:r w:rsidRPr="00B5407B">
        <w:rPr>
          <w:rFonts w:hint="eastAsia"/>
          <w:sz w:val="24"/>
          <w:szCs w:val="24"/>
        </w:rPr>
        <w:t>元；农村居民家庭收入的中位数为</w:t>
      </w:r>
      <w:r w:rsidRPr="00B5407B">
        <w:rPr>
          <w:rFonts w:hint="eastAsia"/>
          <w:sz w:val="24"/>
          <w:szCs w:val="24"/>
        </w:rPr>
        <w:t>15048</w:t>
      </w:r>
      <w:r w:rsidRPr="00B5407B">
        <w:rPr>
          <w:rFonts w:hint="eastAsia"/>
          <w:sz w:val="24"/>
          <w:szCs w:val="24"/>
        </w:rPr>
        <w:t>元，平均数为</w:t>
      </w:r>
      <w:r w:rsidRPr="00B5407B">
        <w:rPr>
          <w:rFonts w:hint="eastAsia"/>
          <w:sz w:val="24"/>
          <w:szCs w:val="24"/>
        </w:rPr>
        <w:t>22559</w:t>
      </w:r>
      <w:r w:rsidRPr="00B5407B">
        <w:rPr>
          <w:rFonts w:hint="eastAsia"/>
          <w:sz w:val="24"/>
          <w:szCs w:val="24"/>
        </w:rPr>
        <w:t>元。平均数数值都明显大于中位数数值，实际反映的是中等偏上收入水平。</w:t>
      </w:r>
      <w:r w:rsidRPr="00B5407B">
        <w:rPr>
          <w:rFonts w:hint="eastAsia"/>
          <w:sz w:val="24"/>
          <w:szCs w:val="24"/>
        </w:rPr>
        <w:t>2010</w:t>
      </w:r>
      <w:r w:rsidRPr="00B5407B">
        <w:rPr>
          <w:rFonts w:hint="eastAsia"/>
          <w:sz w:val="24"/>
          <w:szCs w:val="24"/>
        </w:rPr>
        <w:t>年全国所有居民家庭中高于平均数的只有</w:t>
      </w:r>
      <w:r w:rsidRPr="00B5407B">
        <w:rPr>
          <w:rFonts w:hint="eastAsia"/>
          <w:sz w:val="24"/>
          <w:szCs w:val="24"/>
        </w:rPr>
        <w:t>30%</w:t>
      </w:r>
      <w:r w:rsidRPr="00B5407B">
        <w:rPr>
          <w:rFonts w:hint="eastAsia"/>
          <w:sz w:val="24"/>
          <w:szCs w:val="24"/>
        </w:rPr>
        <w:t>，其中城镇居民家庭中高于平均数的只有</w:t>
      </w:r>
      <w:r w:rsidRPr="00B5407B">
        <w:rPr>
          <w:rFonts w:hint="eastAsia"/>
          <w:sz w:val="24"/>
          <w:szCs w:val="24"/>
        </w:rPr>
        <w:t>25%</w:t>
      </w:r>
      <w:r w:rsidRPr="00B5407B">
        <w:rPr>
          <w:rFonts w:hint="eastAsia"/>
          <w:sz w:val="24"/>
          <w:szCs w:val="24"/>
        </w:rPr>
        <w:t>，农村居民家庭中高于平均数的只有</w:t>
      </w:r>
      <w:r w:rsidRPr="00B5407B">
        <w:rPr>
          <w:rFonts w:hint="eastAsia"/>
          <w:sz w:val="24"/>
          <w:szCs w:val="24"/>
        </w:rPr>
        <w:t>35%</w:t>
      </w:r>
      <w:r w:rsidRPr="00B5407B">
        <w:rPr>
          <w:rFonts w:hint="eastAsia"/>
          <w:sz w:val="24"/>
          <w:szCs w:val="24"/>
        </w:rPr>
        <w:t>。在抽样调查中，如果随机样本中有超级富豪，得出的平均数还要更高。这种统计方式导致每年统计部门发布平均工资或平均收入数据后，老百姓常常感觉与实际不符，戏称自己的收入“被增长”了。</w:t>
      </w:r>
    </w:p>
    <w:p w:rsidR="00CE3006" w:rsidRPr="00B5407B" w:rsidRDefault="00CE3006" w:rsidP="00CE3006">
      <w:pPr>
        <w:spacing w:line="360" w:lineRule="auto"/>
        <w:ind w:firstLineChars="200" w:firstLine="480"/>
        <w:rPr>
          <w:sz w:val="24"/>
          <w:szCs w:val="24"/>
        </w:rPr>
      </w:pPr>
      <w:r w:rsidRPr="00B5407B">
        <w:rPr>
          <w:rFonts w:hint="eastAsia"/>
          <w:sz w:val="24"/>
          <w:szCs w:val="24"/>
        </w:rPr>
        <w:t>2.</w:t>
      </w:r>
      <w:r w:rsidRPr="00B5407B">
        <w:rPr>
          <w:rFonts w:hint="eastAsia"/>
          <w:sz w:val="24"/>
          <w:szCs w:val="24"/>
        </w:rPr>
        <w:t>用平均数度量居民收入水平，不仅方法上不科学，实际操作也很困难。我国城镇单位职工工资统计范围过窄。全国</w:t>
      </w:r>
      <w:r w:rsidRPr="00B5407B">
        <w:rPr>
          <w:rFonts w:hint="eastAsia"/>
          <w:sz w:val="24"/>
          <w:szCs w:val="24"/>
        </w:rPr>
        <w:t>3.4</w:t>
      </w:r>
      <w:r w:rsidRPr="00B5407B">
        <w:rPr>
          <w:rFonts w:hint="eastAsia"/>
          <w:sz w:val="24"/>
          <w:szCs w:val="24"/>
        </w:rPr>
        <w:t>亿城镇就业人员，目前的工资统计只涵盖</w:t>
      </w:r>
      <w:r w:rsidRPr="00B5407B">
        <w:rPr>
          <w:rFonts w:hint="eastAsia"/>
          <w:sz w:val="24"/>
          <w:szCs w:val="24"/>
        </w:rPr>
        <w:t>1.3</w:t>
      </w:r>
      <w:r w:rsidRPr="00B5407B">
        <w:rPr>
          <w:rFonts w:hint="eastAsia"/>
          <w:sz w:val="24"/>
          <w:szCs w:val="24"/>
        </w:rPr>
        <w:t>亿人，还有</w:t>
      </w:r>
      <w:r w:rsidRPr="00B5407B">
        <w:rPr>
          <w:rFonts w:hint="eastAsia"/>
          <w:sz w:val="24"/>
          <w:szCs w:val="24"/>
        </w:rPr>
        <w:t>6000</w:t>
      </w:r>
      <w:r w:rsidRPr="00B5407B">
        <w:rPr>
          <w:rFonts w:hint="eastAsia"/>
          <w:sz w:val="24"/>
          <w:szCs w:val="24"/>
        </w:rPr>
        <w:t>万私营企业职工和</w:t>
      </w:r>
      <w:r w:rsidRPr="00B5407B">
        <w:rPr>
          <w:rFonts w:hint="eastAsia"/>
          <w:sz w:val="24"/>
          <w:szCs w:val="24"/>
        </w:rPr>
        <w:t>4500</w:t>
      </w:r>
      <w:r w:rsidRPr="00B5407B">
        <w:rPr>
          <w:rFonts w:hint="eastAsia"/>
          <w:sz w:val="24"/>
          <w:szCs w:val="24"/>
        </w:rPr>
        <w:t>万左右个体工商业者及一些灵活就业人员没有包括进来，真实的工资总额和就业人数越来越难以统计，由此得出的平均数准确程度也越来越低。此外，抽样调查中高收入户往往或拒绝调查，或瞒报少报收入，这种情况对平均数影响较大。</w:t>
      </w:r>
    </w:p>
    <w:p w:rsidR="00CE3006" w:rsidRPr="00B5407B" w:rsidRDefault="00CE3006" w:rsidP="00CE3006">
      <w:pPr>
        <w:spacing w:line="360" w:lineRule="auto"/>
        <w:ind w:firstLineChars="200" w:firstLine="480"/>
        <w:rPr>
          <w:sz w:val="24"/>
          <w:szCs w:val="24"/>
        </w:rPr>
      </w:pPr>
      <w:r w:rsidRPr="00B5407B">
        <w:rPr>
          <w:rFonts w:hint="eastAsia"/>
          <w:sz w:val="24"/>
          <w:szCs w:val="24"/>
        </w:rPr>
        <w:lastRenderedPageBreak/>
        <w:t>3.</w:t>
      </w:r>
      <w:r w:rsidRPr="00B5407B">
        <w:rPr>
          <w:rFonts w:hint="eastAsia"/>
          <w:sz w:val="24"/>
          <w:szCs w:val="24"/>
        </w:rPr>
        <w:t>发达国家和国际组织一直都采用中位数反映一般收入水平。世界银行和国际货币基金组织统计收入时通常使用中位数，很多发达国家和地区制定政策也常基于中位数数据。英国以全国居民收入中位数的</w:t>
      </w:r>
      <w:r w:rsidRPr="00B5407B">
        <w:rPr>
          <w:rFonts w:hint="eastAsia"/>
          <w:sz w:val="24"/>
          <w:szCs w:val="24"/>
        </w:rPr>
        <w:t>60%</w:t>
      </w:r>
      <w:r w:rsidRPr="00B5407B">
        <w:rPr>
          <w:rFonts w:hint="eastAsia"/>
          <w:sz w:val="24"/>
          <w:szCs w:val="24"/>
        </w:rPr>
        <w:t>划定贫困线，欧盟其他国家也是据此制定动态贫困标准的。我国香港地区长期以来按照国际惯例统计和公布居民收入中位数数据，</w:t>
      </w:r>
      <w:r w:rsidRPr="00B5407B">
        <w:rPr>
          <w:rFonts w:hint="eastAsia"/>
          <w:sz w:val="24"/>
          <w:szCs w:val="24"/>
        </w:rPr>
        <w:t>2011</w:t>
      </w:r>
      <w:r w:rsidRPr="00B5407B">
        <w:rPr>
          <w:rFonts w:hint="eastAsia"/>
          <w:sz w:val="24"/>
          <w:szCs w:val="24"/>
        </w:rPr>
        <w:t>年就业人员每月收入中位数为</w:t>
      </w:r>
      <w:r w:rsidRPr="00B5407B">
        <w:rPr>
          <w:rFonts w:hint="eastAsia"/>
          <w:sz w:val="24"/>
          <w:szCs w:val="24"/>
        </w:rPr>
        <w:t>12000</w:t>
      </w:r>
      <w:r w:rsidRPr="00B5407B">
        <w:rPr>
          <w:rFonts w:hint="eastAsia"/>
          <w:sz w:val="24"/>
          <w:szCs w:val="24"/>
        </w:rPr>
        <w:t>港元，家庭月收入中位数为</w:t>
      </w:r>
      <w:r w:rsidRPr="00B5407B">
        <w:rPr>
          <w:rFonts w:hint="eastAsia"/>
          <w:sz w:val="24"/>
          <w:szCs w:val="24"/>
        </w:rPr>
        <w:t>20200</w:t>
      </w:r>
      <w:r w:rsidRPr="00B5407B">
        <w:rPr>
          <w:rFonts w:hint="eastAsia"/>
          <w:sz w:val="24"/>
          <w:szCs w:val="24"/>
        </w:rPr>
        <w:t>港元。香港还公布收入由低到高每</w:t>
      </w:r>
      <w:r w:rsidRPr="00B5407B">
        <w:rPr>
          <w:rFonts w:hint="eastAsia"/>
          <w:sz w:val="24"/>
          <w:szCs w:val="24"/>
        </w:rPr>
        <w:t>10%</w:t>
      </w:r>
      <w:r w:rsidRPr="00B5407B">
        <w:rPr>
          <w:rFonts w:hint="eastAsia"/>
          <w:sz w:val="24"/>
          <w:szCs w:val="24"/>
        </w:rPr>
        <w:t>人口和家庭的中位数数据，据此可分析不同收入群体和社会阶层的变化情况。</w:t>
      </w:r>
    </w:p>
    <w:p w:rsidR="00CE3006" w:rsidRPr="00B5407B" w:rsidRDefault="00CE3006" w:rsidP="00CE3006">
      <w:pPr>
        <w:spacing w:line="360" w:lineRule="auto"/>
        <w:ind w:firstLineChars="200" w:firstLine="480"/>
        <w:rPr>
          <w:sz w:val="24"/>
          <w:szCs w:val="24"/>
        </w:rPr>
      </w:pPr>
      <w:r w:rsidRPr="00B5407B">
        <w:rPr>
          <w:rFonts w:hint="eastAsia"/>
          <w:sz w:val="24"/>
          <w:szCs w:val="24"/>
        </w:rPr>
        <w:t>二、采用中位数度量城乡居民收入切实可行，建议我国进行统计方法改革</w:t>
      </w:r>
    </w:p>
    <w:p w:rsidR="00CE3006" w:rsidRPr="00B5407B" w:rsidRDefault="00CE3006" w:rsidP="00CE3006">
      <w:pPr>
        <w:spacing w:line="360" w:lineRule="auto"/>
        <w:ind w:firstLineChars="200" w:firstLine="480"/>
        <w:rPr>
          <w:sz w:val="24"/>
          <w:szCs w:val="24"/>
        </w:rPr>
      </w:pPr>
      <w:r w:rsidRPr="00B5407B">
        <w:rPr>
          <w:rFonts w:hint="eastAsia"/>
          <w:sz w:val="24"/>
          <w:szCs w:val="24"/>
        </w:rPr>
        <w:t>建议今后使用中位数度量城乡居民收入，对外只公布中位数，平均数和标准差等数据只作为内部研究使用，同时公布更为翔实的基础数据、分组数据和统计说明，科学反映城乡居民收入的真实情况。</w:t>
      </w:r>
    </w:p>
    <w:p w:rsidR="00CE3006" w:rsidRPr="00B5407B" w:rsidRDefault="00CE3006" w:rsidP="00CE3006">
      <w:pPr>
        <w:spacing w:line="360" w:lineRule="auto"/>
        <w:ind w:firstLineChars="200" w:firstLine="480"/>
        <w:rPr>
          <w:sz w:val="24"/>
          <w:szCs w:val="24"/>
        </w:rPr>
      </w:pPr>
      <w:r w:rsidRPr="00B5407B">
        <w:rPr>
          <w:rFonts w:hint="eastAsia"/>
          <w:sz w:val="24"/>
          <w:szCs w:val="24"/>
        </w:rPr>
        <w:t>1.</w:t>
      </w:r>
      <w:r w:rsidRPr="00B5407B">
        <w:rPr>
          <w:rFonts w:hint="eastAsia"/>
          <w:sz w:val="24"/>
          <w:szCs w:val="24"/>
        </w:rPr>
        <w:t>城乡居民收入的中位数更容易统计获得。一是在能够得到收入平均数的情况下，都可以得到收入中位数。我国统计部门</w:t>
      </w:r>
      <w:r w:rsidRPr="00B5407B">
        <w:rPr>
          <w:rFonts w:hint="eastAsia"/>
          <w:sz w:val="24"/>
          <w:szCs w:val="24"/>
        </w:rPr>
        <w:t>2012</w:t>
      </w:r>
      <w:r w:rsidRPr="00B5407B">
        <w:rPr>
          <w:rFonts w:hint="eastAsia"/>
          <w:sz w:val="24"/>
          <w:szCs w:val="24"/>
        </w:rPr>
        <w:t>年起不仅公布上年城乡居民收入的平均数，也开始公布收入的中位数。二是在城乡居民家庭收支抽样调查时，不用过多担心高收入家庭瞒报少报。三是如果抽样调查设计合理，在不涵盖全国城镇所有就业人员的情况下，就可以获得相对真实的中位数收入数据。</w:t>
      </w:r>
    </w:p>
    <w:p w:rsidR="00CE3006" w:rsidRPr="00B5407B" w:rsidRDefault="00CE3006" w:rsidP="00CE3006">
      <w:pPr>
        <w:spacing w:line="360" w:lineRule="auto"/>
        <w:ind w:firstLineChars="200" w:firstLine="480"/>
        <w:rPr>
          <w:sz w:val="24"/>
          <w:szCs w:val="24"/>
        </w:rPr>
      </w:pPr>
      <w:r w:rsidRPr="00B5407B">
        <w:rPr>
          <w:rFonts w:hint="eastAsia"/>
          <w:sz w:val="24"/>
          <w:szCs w:val="24"/>
        </w:rPr>
        <w:t>2.</w:t>
      </w:r>
      <w:r w:rsidRPr="00B5407B">
        <w:rPr>
          <w:rFonts w:hint="eastAsia"/>
          <w:sz w:val="24"/>
          <w:szCs w:val="24"/>
        </w:rPr>
        <w:t>以中位数统计也可以实现</w:t>
      </w:r>
      <w:r w:rsidRPr="00B5407B">
        <w:rPr>
          <w:rFonts w:hint="eastAsia"/>
          <w:sz w:val="24"/>
          <w:szCs w:val="24"/>
        </w:rPr>
        <w:t>2020</w:t>
      </w:r>
      <w:r w:rsidRPr="00B5407B">
        <w:rPr>
          <w:rFonts w:hint="eastAsia"/>
          <w:sz w:val="24"/>
          <w:szCs w:val="24"/>
        </w:rPr>
        <w:t>年收入翻番目标。《中国统计年鉴》的数据显示，城镇居民家庭人均可支配收入（按平均数计算）从</w:t>
      </w:r>
      <w:r w:rsidRPr="00B5407B">
        <w:rPr>
          <w:rFonts w:hint="eastAsia"/>
          <w:sz w:val="24"/>
          <w:szCs w:val="24"/>
        </w:rPr>
        <w:t>2000</w:t>
      </w:r>
      <w:r w:rsidRPr="00B5407B">
        <w:rPr>
          <w:rFonts w:hint="eastAsia"/>
          <w:sz w:val="24"/>
          <w:szCs w:val="24"/>
        </w:rPr>
        <w:t>年的</w:t>
      </w:r>
      <w:r w:rsidRPr="00B5407B">
        <w:rPr>
          <w:rFonts w:hint="eastAsia"/>
          <w:sz w:val="24"/>
          <w:szCs w:val="24"/>
        </w:rPr>
        <w:t>6280</w:t>
      </w:r>
      <w:r w:rsidRPr="00B5407B">
        <w:rPr>
          <w:rFonts w:hint="eastAsia"/>
          <w:sz w:val="24"/>
          <w:szCs w:val="24"/>
        </w:rPr>
        <w:t>元增长到</w:t>
      </w:r>
      <w:r w:rsidRPr="00B5407B">
        <w:rPr>
          <w:rFonts w:hint="eastAsia"/>
          <w:sz w:val="24"/>
          <w:szCs w:val="24"/>
        </w:rPr>
        <w:t>2010</w:t>
      </w:r>
      <w:r w:rsidRPr="00B5407B">
        <w:rPr>
          <w:rFonts w:hint="eastAsia"/>
          <w:sz w:val="24"/>
          <w:szCs w:val="24"/>
        </w:rPr>
        <w:t>年的</w:t>
      </w:r>
      <w:r w:rsidRPr="00B5407B">
        <w:rPr>
          <w:rFonts w:hint="eastAsia"/>
          <w:sz w:val="24"/>
          <w:szCs w:val="24"/>
        </w:rPr>
        <w:t>15801</w:t>
      </w:r>
      <w:r w:rsidRPr="00B5407B">
        <w:rPr>
          <w:rFonts w:hint="eastAsia"/>
          <w:sz w:val="24"/>
          <w:szCs w:val="24"/>
        </w:rPr>
        <w:t>元（剔除物价变化等因素），实际年均增长</w:t>
      </w:r>
      <w:r w:rsidRPr="00B5407B">
        <w:rPr>
          <w:rFonts w:hint="eastAsia"/>
          <w:sz w:val="24"/>
          <w:szCs w:val="24"/>
        </w:rPr>
        <w:t>9.67%</w:t>
      </w:r>
      <w:r w:rsidRPr="00B5407B">
        <w:rPr>
          <w:rFonts w:hint="eastAsia"/>
          <w:sz w:val="24"/>
          <w:szCs w:val="24"/>
        </w:rPr>
        <w:t>，只用了</w:t>
      </w:r>
      <w:r w:rsidRPr="00B5407B">
        <w:rPr>
          <w:rFonts w:hint="eastAsia"/>
          <w:sz w:val="24"/>
          <w:szCs w:val="24"/>
        </w:rPr>
        <w:t>7.6</w:t>
      </w:r>
      <w:r w:rsidRPr="00B5407B">
        <w:rPr>
          <w:rFonts w:hint="eastAsia"/>
          <w:sz w:val="24"/>
          <w:szCs w:val="24"/>
        </w:rPr>
        <w:t>年时间就实现了收入翻番。如果按照中位数测算，年均增长</w:t>
      </w:r>
      <w:r w:rsidRPr="00B5407B">
        <w:rPr>
          <w:rFonts w:hint="eastAsia"/>
          <w:sz w:val="24"/>
          <w:szCs w:val="24"/>
        </w:rPr>
        <w:t>9.22%</w:t>
      </w:r>
      <w:r w:rsidRPr="00B5407B">
        <w:rPr>
          <w:rFonts w:hint="eastAsia"/>
          <w:sz w:val="24"/>
          <w:szCs w:val="24"/>
        </w:rPr>
        <w:t>，用</w:t>
      </w:r>
      <w:r w:rsidRPr="00B5407B">
        <w:rPr>
          <w:rFonts w:hint="eastAsia"/>
          <w:sz w:val="24"/>
          <w:szCs w:val="24"/>
        </w:rPr>
        <w:t>8</w:t>
      </w:r>
      <w:r w:rsidRPr="00B5407B">
        <w:rPr>
          <w:rFonts w:hint="eastAsia"/>
          <w:sz w:val="24"/>
          <w:szCs w:val="24"/>
        </w:rPr>
        <w:t>年时间也同样可以实现收入翻番。中国人民大学的调查数据也支持这样的结论。现在到</w:t>
      </w:r>
      <w:r w:rsidRPr="00B5407B">
        <w:rPr>
          <w:rFonts w:hint="eastAsia"/>
          <w:sz w:val="24"/>
          <w:szCs w:val="24"/>
        </w:rPr>
        <w:t>2020</w:t>
      </w:r>
      <w:r w:rsidRPr="00B5407B">
        <w:rPr>
          <w:rFonts w:hint="eastAsia"/>
          <w:sz w:val="24"/>
          <w:szCs w:val="24"/>
        </w:rPr>
        <w:t>年还有</w:t>
      </w:r>
      <w:r w:rsidRPr="00B5407B">
        <w:rPr>
          <w:rFonts w:hint="eastAsia"/>
          <w:sz w:val="24"/>
          <w:szCs w:val="24"/>
        </w:rPr>
        <w:t>8</w:t>
      </w:r>
      <w:r w:rsidRPr="00B5407B">
        <w:rPr>
          <w:rFonts w:hint="eastAsia"/>
          <w:sz w:val="24"/>
          <w:szCs w:val="24"/>
        </w:rPr>
        <w:t>年时间，如果未来收入贫富差距能够得到有效控制，即使用中位数度量也完全能够如期实现收入翻番目标。</w:t>
      </w:r>
    </w:p>
    <w:p w:rsidR="00CE3006" w:rsidRPr="00B5407B" w:rsidRDefault="00CE3006" w:rsidP="00CE3006">
      <w:pPr>
        <w:spacing w:line="360" w:lineRule="auto"/>
        <w:ind w:firstLineChars="200" w:firstLine="480"/>
        <w:rPr>
          <w:sz w:val="24"/>
          <w:szCs w:val="24"/>
        </w:rPr>
      </w:pPr>
      <w:r w:rsidRPr="00B5407B">
        <w:rPr>
          <w:rFonts w:hint="eastAsia"/>
          <w:sz w:val="24"/>
          <w:szCs w:val="24"/>
        </w:rPr>
        <w:t>3.</w:t>
      </w:r>
      <w:r w:rsidRPr="00B5407B">
        <w:rPr>
          <w:rFonts w:hint="eastAsia"/>
          <w:sz w:val="24"/>
          <w:szCs w:val="24"/>
        </w:rPr>
        <w:t>城乡居民收入中位数翻番更能惠及广大低收入群体。收入翻番主要是为了惠及广大中低收入群体，然而基于平均数的翻番可能难以真正实现这一目标。原因在于，如果未来城乡差距、贫富差距继续扩大，我国收入的平均数水平会受到极少数富有人群的较大影响。根据《中国统计年鉴》的数据，</w:t>
      </w:r>
      <w:r w:rsidRPr="00B5407B">
        <w:rPr>
          <w:rFonts w:hint="eastAsia"/>
          <w:sz w:val="24"/>
          <w:szCs w:val="24"/>
        </w:rPr>
        <w:t>2010</w:t>
      </w:r>
      <w:r w:rsidRPr="00B5407B">
        <w:rPr>
          <w:rFonts w:hint="eastAsia"/>
          <w:sz w:val="24"/>
          <w:szCs w:val="24"/>
        </w:rPr>
        <w:t>年城镇居民家庭占总体</w:t>
      </w:r>
      <w:r w:rsidRPr="00B5407B">
        <w:rPr>
          <w:rFonts w:hint="eastAsia"/>
          <w:sz w:val="24"/>
          <w:szCs w:val="24"/>
        </w:rPr>
        <w:t>10%</w:t>
      </w:r>
      <w:r w:rsidRPr="00B5407B">
        <w:rPr>
          <w:rFonts w:hint="eastAsia"/>
          <w:sz w:val="24"/>
          <w:szCs w:val="24"/>
        </w:rPr>
        <w:t>的最高收入组家庭人均可支配收入为</w:t>
      </w:r>
      <w:r w:rsidRPr="00B5407B">
        <w:rPr>
          <w:rFonts w:hint="eastAsia"/>
          <w:sz w:val="24"/>
          <w:szCs w:val="24"/>
        </w:rPr>
        <w:t>51432</w:t>
      </w:r>
      <w:r w:rsidRPr="00B5407B">
        <w:rPr>
          <w:rFonts w:hint="eastAsia"/>
          <w:sz w:val="24"/>
          <w:szCs w:val="24"/>
        </w:rPr>
        <w:t>元；占总体</w:t>
      </w:r>
      <w:r w:rsidRPr="00B5407B">
        <w:rPr>
          <w:rFonts w:hint="eastAsia"/>
          <w:sz w:val="24"/>
          <w:szCs w:val="24"/>
        </w:rPr>
        <w:t>10%</w:t>
      </w:r>
      <w:r w:rsidRPr="00B5407B">
        <w:rPr>
          <w:rFonts w:hint="eastAsia"/>
          <w:sz w:val="24"/>
          <w:szCs w:val="24"/>
        </w:rPr>
        <w:t>的最低收入组家庭人均可支配收入为</w:t>
      </w:r>
      <w:r w:rsidRPr="00B5407B">
        <w:rPr>
          <w:rFonts w:hint="eastAsia"/>
          <w:sz w:val="24"/>
          <w:szCs w:val="24"/>
        </w:rPr>
        <w:t>5948</w:t>
      </w:r>
      <w:r w:rsidRPr="00B5407B">
        <w:rPr>
          <w:rFonts w:hint="eastAsia"/>
          <w:sz w:val="24"/>
          <w:szCs w:val="24"/>
        </w:rPr>
        <w:t>元。最高组与最低组的收入之比由</w:t>
      </w:r>
      <w:r w:rsidRPr="00B5407B">
        <w:rPr>
          <w:rFonts w:hint="eastAsia"/>
          <w:sz w:val="24"/>
          <w:szCs w:val="24"/>
        </w:rPr>
        <w:t>2000</w:t>
      </w:r>
      <w:r w:rsidRPr="00B5407B">
        <w:rPr>
          <w:rFonts w:hint="eastAsia"/>
          <w:sz w:val="24"/>
          <w:szCs w:val="24"/>
        </w:rPr>
        <w:lastRenderedPageBreak/>
        <w:t>年的</w:t>
      </w:r>
      <w:r w:rsidRPr="00B5407B">
        <w:rPr>
          <w:rFonts w:hint="eastAsia"/>
          <w:sz w:val="24"/>
          <w:szCs w:val="24"/>
        </w:rPr>
        <w:t>5.02</w:t>
      </w:r>
      <w:r w:rsidRPr="00B5407B">
        <w:rPr>
          <w:rFonts w:hint="eastAsia"/>
          <w:sz w:val="24"/>
          <w:szCs w:val="24"/>
        </w:rPr>
        <w:t>扩大到</w:t>
      </w:r>
      <w:r w:rsidRPr="00B5407B">
        <w:rPr>
          <w:rFonts w:hint="eastAsia"/>
          <w:sz w:val="24"/>
          <w:szCs w:val="24"/>
        </w:rPr>
        <w:t>8.65</w:t>
      </w:r>
      <w:r w:rsidRPr="00B5407B">
        <w:rPr>
          <w:rFonts w:hint="eastAsia"/>
          <w:sz w:val="24"/>
          <w:szCs w:val="24"/>
        </w:rPr>
        <w:t>。</w:t>
      </w:r>
    </w:p>
    <w:p w:rsidR="00CE3006" w:rsidRPr="00B5407B" w:rsidRDefault="00CE3006" w:rsidP="00CE3006">
      <w:pPr>
        <w:spacing w:line="360" w:lineRule="auto"/>
        <w:ind w:firstLineChars="200" w:firstLine="480"/>
        <w:rPr>
          <w:sz w:val="24"/>
          <w:szCs w:val="24"/>
        </w:rPr>
      </w:pPr>
      <w:r w:rsidRPr="00B5407B">
        <w:rPr>
          <w:rFonts w:hint="eastAsia"/>
          <w:sz w:val="24"/>
          <w:szCs w:val="24"/>
        </w:rPr>
        <w:t>在使用中位数统计的开始阶段，有必要宣传统计改革是为了约束收入分配调整，减少贫富差距，保障中低收入群体在改革发展中真正获得实惠。这有利于广大群众切实感受到收入增长带来的幸福感，也有利于政府准确把握经济社会发展实际，有效推动科学管理决策，更好地完成全面建成小康社会的宏伟目标</w:t>
      </w:r>
      <w:r>
        <w:rPr>
          <w:rFonts w:hint="eastAsia"/>
          <w:sz w:val="24"/>
          <w:szCs w:val="24"/>
        </w:rPr>
        <w:t>。</w:t>
      </w:r>
    </w:p>
    <w:p w:rsidR="00CE3006" w:rsidRPr="00C6591F" w:rsidRDefault="00CE3006" w:rsidP="00CE3006">
      <w:pPr>
        <w:spacing w:line="360" w:lineRule="auto"/>
        <w:rPr>
          <w:sz w:val="24"/>
          <w:szCs w:val="24"/>
        </w:rPr>
      </w:pPr>
    </w:p>
    <w:p w:rsidR="00CE3006" w:rsidRPr="00C6591F" w:rsidRDefault="00CE3006" w:rsidP="00CE3006"/>
    <w:p w:rsidR="00BD36E5" w:rsidRPr="00CE3006" w:rsidRDefault="00BD36E5"/>
    <w:sectPr w:rsidR="00BD36E5" w:rsidRPr="00CE30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6E5" w:rsidRDefault="00BD36E5" w:rsidP="00CE3006">
      <w:r>
        <w:separator/>
      </w:r>
    </w:p>
  </w:endnote>
  <w:endnote w:type="continuationSeparator" w:id="1">
    <w:p w:rsidR="00BD36E5" w:rsidRDefault="00BD36E5" w:rsidP="00CE30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6E5" w:rsidRDefault="00BD36E5" w:rsidP="00CE3006">
      <w:r>
        <w:separator/>
      </w:r>
    </w:p>
  </w:footnote>
  <w:footnote w:type="continuationSeparator" w:id="1">
    <w:p w:rsidR="00BD36E5" w:rsidRDefault="00BD36E5" w:rsidP="00CE30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006"/>
    <w:rsid w:val="00BD36E5"/>
    <w:rsid w:val="00CE3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3006"/>
    <w:rPr>
      <w:sz w:val="18"/>
      <w:szCs w:val="18"/>
    </w:rPr>
  </w:style>
  <w:style w:type="paragraph" w:styleId="a4">
    <w:name w:val="footer"/>
    <w:basedOn w:val="a"/>
    <w:link w:val="Char0"/>
    <w:uiPriority w:val="99"/>
    <w:semiHidden/>
    <w:unhideWhenUsed/>
    <w:rsid w:val="00CE30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30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1707</Characters>
  <Application>Microsoft Office Word</Application>
  <DocSecurity>0</DocSecurity>
  <Lines>14</Lines>
  <Paragraphs>4</Paragraphs>
  <ScaleCrop>false</ScaleCrop>
  <Company>Lenovo (Beijing) Limited</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冯瑜</dc:creator>
  <cp:keywords/>
  <dc:description/>
  <cp:lastModifiedBy>冯瑜</cp:lastModifiedBy>
  <cp:revision>2</cp:revision>
  <dcterms:created xsi:type="dcterms:W3CDTF">2015-09-18T08:25:00Z</dcterms:created>
  <dcterms:modified xsi:type="dcterms:W3CDTF">2015-09-18T08:25:00Z</dcterms:modified>
</cp:coreProperties>
</file>