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9" w:rsidRDefault="00CD3E89" w:rsidP="00CD3E89">
      <w:pPr>
        <w:tabs>
          <w:tab w:val="left" w:pos="5928"/>
        </w:tabs>
        <w:snapToGrid w:val="0"/>
        <w:spacing w:line="590" w:lineRule="exact"/>
        <w:ind w:firstLineChars="200" w:firstLine="800"/>
        <w:jc w:val="center"/>
        <w:rPr>
          <w:rFonts w:ascii="黑体" w:eastAsia="黑体" w:hint="eastAsia"/>
          <w:sz w:val="32"/>
          <w:szCs w:val="32"/>
        </w:rPr>
      </w:pPr>
      <w:r w:rsidRPr="00CD3E89">
        <w:rPr>
          <w:rFonts w:ascii="黑体" w:eastAsia="黑体" w:hint="eastAsia"/>
          <w:sz w:val="40"/>
          <w:szCs w:val="32"/>
        </w:rPr>
        <w:t>课 题 指 南</w:t>
      </w:r>
    </w:p>
    <w:p w:rsidR="00CD3E89" w:rsidRPr="00D71C32" w:rsidRDefault="00CD3E89" w:rsidP="00CD3E89">
      <w:pPr>
        <w:tabs>
          <w:tab w:val="left" w:pos="5928"/>
        </w:tabs>
        <w:snapToGrid w:val="0"/>
        <w:spacing w:line="590" w:lineRule="exact"/>
        <w:ind w:firstLineChars="200" w:firstLine="640"/>
        <w:jc w:val="center"/>
        <w:rPr>
          <w:rFonts w:ascii="黑体" w:eastAsia="黑体"/>
          <w:sz w:val="32"/>
          <w:szCs w:val="32"/>
        </w:rPr>
      </w:pP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hint="eastAsia"/>
          <w:sz w:val="32"/>
          <w:szCs w:val="32"/>
        </w:rPr>
      </w:pPr>
      <w:r w:rsidRPr="00BF46CE">
        <w:rPr>
          <w:rFonts w:hint="eastAsia"/>
          <w:sz w:val="32"/>
          <w:szCs w:val="32"/>
        </w:rPr>
        <w:t>申报招标项目应以下列题目作为选题，或在保留原题目研究范围和内容的前提下，作适当微调。</w:t>
      </w:r>
    </w:p>
    <w:p w:rsidR="00CD3E89" w:rsidRPr="007B257B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B257B">
        <w:rPr>
          <w:rFonts w:ascii="楷体_GB2312" w:eastAsia="楷体_GB2312" w:hint="eastAsia"/>
          <w:sz w:val="32"/>
          <w:szCs w:val="32"/>
        </w:rPr>
        <w:t>（一）市社科规划重点招标项目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1、培育青岛对外开放新优势研究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2、新型城镇化背景下青岛市产城融合发展路径研究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3、青岛市农村产权制度改革研究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4、青岛市提升政府治理能力研究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5、青岛市公共安全应急体系建设研究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6、青岛城市交通发展问题研究</w:t>
      </w:r>
    </w:p>
    <w:p w:rsidR="00CD3E89" w:rsidRPr="007A75C4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7A75C4">
        <w:rPr>
          <w:rFonts w:ascii="仿宋_GB2312" w:hint="eastAsia"/>
          <w:sz w:val="32"/>
          <w:szCs w:val="32"/>
        </w:rPr>
        <w:t>7、青岛市生态质量评价与生态建设研究</w:t>
      </w:r>
    </w:p>
    <w:p w:rsidR="00CD3E89" w:rsidRPr="007B257B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B257B">
        <w:rPr>
          <w:rFonts w:ascii="楷体_GB2312" w:eastAsia="楷体_GB2312" w:hint="eastAsia"/>
          <w:sz w:val="32"/>
          <w:szCs w:val="32"/>
        </w:rPr>
        <w:t>（二）金融专项招标项目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1.</w:t>
      </w:r>
      <w:r w:rsidRPr="00BF46CE">
        <w:rPr>
          <w:rFonts w:ascii="仿宋_GB2312" w:hint="eastAsia"/>
          <w:sz w:val="32"/>
          <w:szCs w:val="32"/>
        </w:rPr>
        <w:t>青岛市地方债务投融资研究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2.</w:t>
      </w:r>
      <w:r w:rsidRPr="00BF46CE">
        <w:rPr>
          <w:rFonts w:ascii="仿宋_GB2312" w:hint="eastAsia"/>
          <w:sz w:val="32"/>
          <w:szCs w:val="32"/>
        </w:rPr>
        <w:t>青岛市财富管理中心建设研究</w:t>
      </w:r>
    </w:p>
    <w:p w:rsidR="00CD3E89" w:rsidRPr="00BF46CE" w:rsidRDefault="00CD3E89" w:rsidP="00CD3E89">
      <w:pPr>
        <w:pStyle w:val="ListParagraph"/>
        <w:tabs>
          <w:tab w:val="left" w:pos="678"/>
        </w:tabs>
        <w:snapToGrid w:val="0"/>
        <w:spacing w:line="590" w:lineRule="exact"/>
        <w:ind w:firstLine="640"/>
        <w:rPr>
          <w:rFonts w:ascii="楷体_GB2312" w:eastAsia="楷体_GB2312"/>
          <w:szCs w:val="32"/>
        </w:rPr>
      </w:pPr>
      <w:r w:rsidRPr="00BF46CE">
        <w:rPr>
          <w:rFonts w:ascii="楷体_GB2312" w:eastAsia="楷体_GB2312" w:hint="eastAsia"/>
          <w:szCs w:val="32"/>
        </w:rPr>
        <w:t>（三）研究中心招标项目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1.</w:t>
      </w:r>
      <w:r w:rsidRPr="00BF46CE">
        <w:rPr>
          <w:rFonts w:ascii="仿宋_GB2312" w:hint="eastAsia"/>
          <w:sz w:val="32"/>
          <w:szCs w:val="32"/>
        </w:rPr>
        <w:t>中华民族传统文化与中国共产党优良革命传统研究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2.</w:t>
      </w:r>
      <w:r w:rsidRPr="00BF46CE">
        <w:rPr>
          <w:rFonts w:ascii="仿宋_GB2312" w:hint="eastAsia"/>
          <w:sz w:val="32"/>
          <w:szCs w:val="32"/>
        </w:rPr>
        <w:t>坚定共产党人理想信念研究</w:t>
      </w:r>
    </w:p>
    <w:p w:rsidR="00CD3E89" w:rsidRPr="00BF46CE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3.</w:t>
      </w:r>
      <w:r w:rsidRPr="00BF46CE">
        <w:rPr>
          <w:rFonts w:ascii="仿宋_GB2312" w:hint="eastAsia"/>
          <w:sz w:val="32"/>
          <w:szCs w:val="32"/>
        </w:rPr>
        <w:t>历史文化名城对城市软实力支撑作用研究</w:t>
      </w:r>
    </w:p>
    <w:p w:rsidR="00CD3E89" w:rsidRPr="00BF46CE" w:rsidRDefault="00CD3E89" w:rsidP="00CD3E89">
      <w:pPr>
        <w:pStyle w:val="ListParagraph"/>
        <w:tabs>
          <w:tab w:val="left" w:pos="678"/>
        </w:tabs>
        <w:snapToGrid w:val="0"/>
        <w:spacing w:line="590" w:lineRule="exact"/>
        <w:ind w:firstLine="640"/>
        <w:rPr>
          <w:rFonts w:ascii="楷体_GB2312" w:eastAsia="楷体_GB2312"/>
          <w:szCs w:val="32"/>
        </w:rPr>
      </w:pPr>
      <w:r w:rsidRPr="00BF46CE">
        <w:rPr>
          <w:rFonts w:ascii="楷体_GB2312" w:eastAsia="楷体_GB2312" w:hint="eastAsia"/>
          <w:szCs w:val="32"/>
        </w:rPr>
        <w:t>（四）区域重点招标项目</w:t>
      </w:r>
    </w:p>
    <w:p w:rsidR="00CD3E89" w:rsidRPr="007A75C4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7A75C4">
        <w:rPr>
          <w:rFonts w:ascii="仿宋_GB2312"/>
          <w:sz w:val="32"/>
          <w:szCs w:val="32"/>
        </w:rPr>
        <w:t>1.</w:t>
      </w:r>
      <w:r w:rsidRPr="007A75C4">
        <w:rPr>
          <w:rFonts w:ascii="仿宋_GB2312" w:hint="eastAsia"/>
          <w:sz w:val="32"/>
          <w:szCs w:val="32"/>
        </w:rPr>
        <w:t>着力楼宇统战工作机制创新，促进新的社会阶层管理服务（市南区）</w:t>
      </w:r>
    </w:p>
    <w:p w:rsidR="00CD3E89" w:rsidRPr="007A75C4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7A75C4">
        <w:rPr>
          <w:rFonts w:ascii="仿宋_GB2312"/>
          <w:sz w:val="32"/>
          <w:szCs w:val="32"/>
        </w:rPr>
        <w:t>2.</w:t>
      </w:r>
      <w:r w:rsidRPr="007A75C4">
        <w:rPr>
          <w:rFonts w:ascii="仿宋_GB2312" w:hint="eastAsia"/>
          <w:sz w:val="32"/>
          <w:szCs w:val="32"/>
        </w:rPr>
        <w:t>关于对权力运行实行“跟单式”监督的探索与研究（市</w:t>
      </w:r>
      <w:r w:rsidRPr="007A75C4">
        <w:rPr>
          <w:rFonts w:ascii="仿宋_GB2312" w:hint="eastAsia"/>
          <w:sz w:val="32"/>
          <w:szCs w:val="32"/>
        </w:rPr>
        <w:lastRenderedPageBreak/>
        <w:t>南区）</w:t>
      </w:r>
    </w:p>
    <w:p w:rsidR="00CD3E89" w:rsidRPr="007A75C4" w:rsidRDefault="00CD3E89" w:rsidP="00CD3E89">
      <w:pPr>
        <w:tabs>
          <w:tab w:val="left" w:pos="678"/>
        </w:tabs>
        <w:spacing w:line="590" w:lineRule="exact"/>
        <w:ind w:firstLineChars="200" w:firstLine="616"/>
        <w:rPr>
          <w:rFonts w:ascii="仿宋_GB2312"/>
          <w:spacing w:val="-6"/>
          <w:sz w:val="32"/>
          <w:szCs w:val="32"/>
        </w:rPr>
      </w:pPr>
      <w:r w:rsidRPr="007A75C4">
        <w:rPr>
          <w:rFonts w:ascii="仿宋_GB2312"/>
          <w:spacing w:val="-6"/>
          <w:sz w:val="32"/>
          <w:szCs w:val="32"/>
        </w:rPr>
        <w:t>3.</w:t>
      </w:r>
      <w:r w:rsidRPr="007A75C4">
        <w:rPr>
          <w:rFonts w:ascii="仿宋_GB2312" w:hint="eastAsia"/>
          <w:spacing w:val="-6"/>
          <w:sz w:val="32"/>
          <w:szCs w:val="32"/>
        </w:rPr>
        <w:t>德国邮轮经济的发展及对市北区邮轮母港建设的启示（市北区）</w:t>
      </w:r>
    </w:p>
    <w:p w:rsidR="00CD3E89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7A75C4">
        <w:rPr>
          <w:rFonts w:ascii="仿宋_GB2312"/>
          <w:sz w:val="32"/>
          <w:szCs w:val="32"/>
        </w:rPr>
        <w:t>4.</w:t>
      </w:r>
      <w:r w:rsidRPr="007A75C4">
        <w:rPr>
          <w:rFonts w:ascii="仿宋_GB2312" w:hint="eastAsia"/>
          <w:sz w:val="32"/>
          <w:szCs w:val="32"/>
        </w:rPr>
        <w:t>以世园经济为引擎</w:t>
      </w:r>
      <w:r w:rsidRPr="007A75C4">
        <w:rPr>
          <w:rFonts w:ascii="仿宋_GB2312"/>
          <w:sz w:val="32"/>
          <w:szCs w:val="32"/>
        </w:rPr>
        <w:t>,</w:t>
      </w:r>
      <w:r w:rsidRPr="007A75C4">
        <w:rPr>
          <w:rFonts w:ascii="仿宋_GB2312" w:hint="eastAsia"/>
          <w:sz w:val="32"/>
          <w:szCs w:val="32"/>
        </w:rPr>
        <w:t>推动区域经济转型升级（李沧区）</w:t>
      </w:r>
    </w:p>
    <w:p w:rsidR="00CD3E89" w:rsidRPr="007A75C4" w:rsidRDefault="00CD3E89" w:rsidP="00CD3E89">
      <w:pPr>
        <w:tabs>
          <w:tab w:val="left" w:pos="678"/>
        </w:tabs>
        <w:spacing w:line="590" w:lineRule="exact"/>
        <w:ind w:firstLineChars="200" w:firstLine="616"/>
        <w:rPr>
          <w:rFonts w:ascii="仿宋_GB2312"/>
          <w:spacing w:val="-6"/>
          <w:sz w:val="32"/>
          <w:szCs w:val="32"/>
        </w:rPr>
      </w:pPr>
      <w:r w:rsidRPr="007A75C4">
        <w:rPr>
          <w:rFonts w:ascii="仿宋_GB2312"/>
          <w:spacing w:val="-6"/>
          <w:sz w:val="32"/>
          <w:szCs w:val="32"/>
        </w:rPr>
        <w:t>5.</w:t>
      </w:r>
      <w:r w:rsidRPr="007A75C4">
        <w:rPr>
          <w:rFonts w:ascii="仿宋_GB2312" w:hint="eastAsia"/>
          <w:spacing w:val="-6"/>
          <w:sz w:val="32"/>
          <w:szCs w:val="32"/>
        </w:rPr>
        <w:t>青岛交通商务区规划建设的空间布局与产业支撑研究（李沧区）</w:t>
      </w:r>
    </w:p>
    <w:p w:rsidR="00CD3E89" w:rsidRPr="00BF46CE" w:rsidRDefault="00CD3E89" w:rsidP="00CD3E89">
      <w:pPr>
        <w:tabs>
          <w:tab w:val="num" w:pos="390"/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7A75C4">
        <w:rPr>
          <w:rFonts w:ascii="仿宋_GB2312"/>
          <w:sz w:val="32"/>
          <w:szCs w:val="32"/>
        </w:rPr>
        <w:t>6.</w:t>
      </w:r>
      <w:r w:rsidRPr="007A75C4">
        <w:rPr>
          <w:rFonts w:ascii="仿宋_GB2312" w:hint="eastAsia"/>
          <w:sz w:val="32"/>
          <w:szCs w:val="32"/>
        </w:rPr>
        <w:t>崂山创新文化在</w:t>
      </w:r>
      <w:r w:rsidRPr="00BF46CE">
        <w:rPr>
          <w:rFonts w:ascii="仿宋_GB2312" w:hint="eastAsia"/>
          <w:sz w:val="32"/>
          <w:szCs w:val="32"/>
        </w:rPr>
        <w:t>青岛蓝色硅谷建设中的地位和作用研究（崂山区）</w:t>
      </w:r>
    </w:p>
    <w:p w:rsidR="00CD3E89" w:rsidRPr="00BF46CE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7.</w:t>
      </w:r>
      <w:r w:rsidRPr="00BF46CE">
        <w:rPr>
          <w:rFonts w:ascii="仿宋_GB2312" w:hint="eastAsia"/>
          <w:sz w:val="32"/>
          <w:szCs w:val="32"/>
        </w:rPr>
        <w:t>即墨掌故综合性研究（即墨市）</w:t>
      </w:r>
    </w:p>
    <w:p w:rsidR="00CD3E89" w:rsidRPr="00BF46CE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8.</w:t>
      </w:r>
      <w:r w:rsidRPr="00BF46CE">
        <w:rPr>
          <w:rFonts w:ascii="仿宋_GB2312" w:hint="eastAsia"/>
          <w:sz w:val="32"/>
          <w:szCs w:val="32"/>
        </w:rPr>
        <w:t>新媒体时代青岛传统文化传播策略研究</w:t>
      </w:r>
      <w:r w:rsidRPr="00BF46CE">
        <w:rPr>
          <w:rFonts w:ascii="仿宋_GB2312"/>
          <w:sz w:val="32"/>
          <w:szCs w:val="32"/>
        </w:rPr>
        <w:t>(</w:t>
      </w:r>
      <w:r w:rsidRPr="00BF46CE">
        <w:rPr>
          <w:rFonts w:ascii="仿宋_GB2312" w:hint="eastAsia"/>
          <w:sz w:val="32"/>
          <w:szCs w:val="32"/>
        </w:rPr>
        <w:t>胶州市</w:t>
      </w:r>
      <w:r w:rsidRPr="00BF46CE">
        <w:rPr>
          <w:rFonts w:ascii="仿宋_GB2312"/>
          <w:sz w:val="32"/>
          <w:szCs w:val="32"/>
        </w:rPr>
        <w:t xml:space="preserve">) </w:t>
      </w:r>
    </w:p>
    <w:p w:rsidR="00CD3E89" w:rsidRPr="00BF46CE" w:rsidRDefault="00CD3E89" w:rsidP="00CD3E89">
      <w:pPr>
        <w:tabs>
          <w:tab w:val="left" w:pos="678"/>
        </w:tabs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/>
          <w:sz w:val="32"/>
          <w:szCs w:val="32"/>
        </w:rPr>
        <w:t>9.</w:t>
      </w:r>
      <w:r w:rsidRPr="00BF46CE">
        <w:rPr>
          <w:rFonts w:ascii="仿宋_GB2312" w:hint="eastAsia"/>
          <w:sz w:val="32"/>
          <w:szCs w:val="32"/>
        </w:rPr>
        <w:t>打造丝绸之路经济带和新海上丝绸之路双向桥头堡，重现板桥镇辉煌研究（胶州市）</w:t>
      </w:r>
    </w:p>
    <w:p w:rsidR="00CD3E89" w:rsidRPr="00D71C32" w:rsidRDefault="00CD3E89" w:rsidP="00CD3E89">
      <w:pPr>
        <w:tabs>
          <w:tab w:val="left" w:pos="678"/>
        </w:tabs>
        <w:snapToGrid w:val="0"/>
        <w:spacing w:line="590" w:lineRule="exact"/>
        <w:ind w:firstLineChars="200" w:firstLine="640"/>
        <w:rPr>
          <w:rFonts w:ascii="仿宋_GB2312"/>
          <w:sz w:val="32"/>
          <w:szCs w:val="32"/>
        </w:rPr>
      </w:pPr>
      <w:r w:rsidRPr="00BF46CE">
        <w:rPr>
          <w:rFonts w:ascii="仿宋_GB2312" w:hint="eastAsia"/>
          <w:sz w:val="32"/>
          <w:szCs w:val="32"/>
        </w:rPr>
        <w:t>区域重点招标项目由各区市根据本区市工作实际提出选题，市社科规划办按招标项目程序予以立项和管理。区域重点招标项目资助经费由所在区市协调解决（第</w:t>
      </w:r>
      <w:r w:rsidRPr="00BF46CE">
        <w:rPr>
          <w:rFonts w:ascii="仿宋_GB2312"/>
          <w:sz w:val="32"/>
          <w:szCs w:val="32"/>
        </w:rPr>
        <w:t>8</w:t>
      </w:r>
      <w:r w:rsidRPr="00BF46CE">
        <w:rPr>
          <w:rFonts w:ascii="仿宋_GB2312" w:hint="eastAsia"/>
          <w:sz w:val="32"/>
          <w:szCs w:val="32"/>
        </w:rPr>
        <w:t>项选题为自筹经费选题）；项目获得青岛市副市级以上领导肯定性批示</w:t>
      </w:r>
      <w:r w:rsidRPr="00D71C32">
        <w:rPr>
          <w:rFonts w:ascii="仿宋_GB2312" w:hint="eastAsia"/>
          <w:sz w:val="32"/>
          <w:szCs w:val="32"/>
        </w:rPr>
        <w:t>的，市社科规划办可根据研究成果质量给予适当奖励。以上选题除第</w:t>
      </w:r>
      <w:r w:rsidRPr="00D71C32">
        <w:rPr>
          <w:rFonts w:ascii="仿宋_GB2312"/>
          <w:sz w:val="32"/>
          <w:szCs w:val="32"/>
        </w:rPr>
        <w:t>9</w:t>
      </w:r>
      <w:r w:rsidRPr="00D71C32">
        <w:rPr>
          <w:rFonts w:ascii="仿宋_GB2312" w:hint="eastAsia"/>
          <w:sz w:val="32"/>
          <w:szCs w:val="32"/>
        </w:rPr>
        <w:t>项外，均由各区市自行组织课题组；第</w:t>
      </w:r>
      <w:r w:rsidRPr="00D71C32">
        <w:rPr>
          <w:rFonts w:ascii="仿宋_GB2312"/>
          <w:sz w:val="32"/>
          <w:szCs w:val="32"/>
        </w:rPr>
        <w:t>9</w:t>
      </w:r>
      <w:r w:rsidRPr="00D71C32">
        <w:rPr>
          <w:rFonts w:ascii="仿宋_GB2312" w:hint="eastAsia"/>
          <w:sz w:val="32"/>
          <w:szCs w:val="32"/>
        </w:rPr>
        <w:t>项纳入此次招标工作，课题组人数不超过</w:t>
      </w:r>
      <w:r w:rsidRPr="00D71C32">
        <w:rPr>
          <w:rFonts w:ascii="仿宋_GB2312"/>
          <w:sz w:val="32"/>
          <w:szCs w:val="32"/>
        </w:rPr>
        <w:t>3</w:t>
      </w:r>
      <w:r w:rsidRPr="00D71C32">
        <w:rPr>
          <w:rFonts w:ascii="仿宋_GB2312" w:hint="eastAsia"/>
          <w:sz w:val="32"/>
          <w:szCs w:val="32"/>
        </w:rPr>
        <w:t>人，具体事宜可咨询市社科规划办。</w:t>
      </w:r>
    </w:p>
    <w:p w:rsidR="00A86B4D" w:rsidRPr="00CD3E89" w:rsidRDefault="00A86B4D"/>
    <w:sectPr w:rsidR="00A86B4D" w:rsidRPr="00CD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4D" w:rsidRDefault="00A86B4D" w:rsidP="00CD3E89">
      <w:r>
        <w:separator/>
      </w:r>
    </w:p>
  </w:endnote>
  <w:endnote w:type="continuationSeparator" w:id="1">
    <w:p w:rsidR="00A86B4D" w:rsidRDefault="00A86B4D" w:rsidP="00CD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4D" w:rsidRDefault="00A86B4D" w:rsidP="00CD3E89">
      <w:r>
        <w:separator/>
      </w:r>
    </w:p>
  </w:footnote>
  <w:footnote w:type="continuationSeparator" w:id="1">
    <w:p w:rsidR="00A86B4D" w:rsidRDefault="00A86B4D" w:rsidP="00CD3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89"/>
    <w:rsid w:val="00A86B4D"/>
    <w:rsid w:val="00C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89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E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E89"/>
    <w:rPr>
      <w:sz w:val="18"/>
      <w:szCs w:val="18"/>
    </w:rPr>
  </w:style>
  <w:style w:type="paragraph" w:customStyle="1" w:styleId="ListParagraph">
    <w:name w:val="List Paragraph"/>
    <w:basedOn w:val="a"/>
    <w:rsid w:val="00CD3E89"/>
    <w:pPr>
      <w:adjustRightInd w:val="0"/>
      <w:spacing w:line="312" w:lineRule="atLeast"/>
      <w:ind w:firstLineChars="200" w:firstLine="420"/>
      <w:textAlignment w:val="baseline"/>
    </w:pPr>
    <w:rPr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OUC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2</cp:revision>
  <dcterms:created xsi:type="dcterms:W3CDTF">2014-04-25T02:16:00Z</dcterms:created>
  <dcterms:modified xsi:type="dcterms:W3CDTF">2014-04-25T02:16:00Z</dcterms:modified>
</cp:coreProperties>
</file>